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00DB0" w14:textId="6F0C2B76" w:rsidR="00AE4EAE" w:rsidRPr="0066796E" w:rsidRDefault="00AE4EAE" w:rsidP="00AE4EAE">
      <w:pPr>
        <w:pStyle w:val="DocumentName"/>
        <w:rPr>
          <w:rFonts w:ascii="Mute" w:hAnsi="Mute" w:cs="Arial"/>
          <w:color w:val="1F497D" w:themeColor="text2"/>
          <w:sz w:val="28"/>
          <w:szCs w:val="28"/>
        </w:rPr>
      </w:pPr>
      <w:bookmarkStart w:id="0" w:name="_Toc17903532"/>
      <w:r w:rsidRPr="0066796E">
        <w:rPr>
          <w:rFonts w:ascii="Mute" w:hAnsi="Mute" w:cs="Arial"/>
          <w:color w:val="1F497D" w:themeColor="text2"/>
          <w:sz w:val="28"/>
          <w:szCs w:val="28"/>
        </w:rPr>
        <w:t>The Meat and Lives</w:t>
      </w:r>
      <w:r w:rsidR="00F03CCC" w:rsidRPr="0066796E">
        <w:rPr>
          <w:rFonts w:ascii="Mute" w:hAnsi="Mute" w:cs="Arial"/>
          <w:color w:val="1F497D" w:themeColor="text2"/>
          <w:sz w:val="28"/>
          <w:szCs w:val="28"/>
        </w:rPr>
        <w:t>t</w:t>
      </w:r>
      <w:r w:rsidRPr="0066796E">
        <w:rPr>
          <w:rFonts w:ascii="Mute" w:hAnsi="Mute" w:cs="Arial"/>
          <w:color w:val="1F497D" w:themeColor="text2"/>
          <w:sz w:val="28"/>
          <w:szCs w:val="28"/>
        </w:rPr>
        <w:t>ock Co</w:t>
      </w:r>
      <w:bookmarkStart w:id="1" w:name="_GoBack"/>
      <w:bookmarkEnd w:id="1"/>
      <w:r w:rsidRPr="0066796E">
        <w:rPr>
          <w:rFonts w:ascii="Mute" w:hAnsi="Mute" w:cs="Arial"/>
          <w:color w:val="1F497D" w:themeColor="text2"/>
          <w:sz w:val="28"/>
          <w:szCs w:val="28"/>
        </w:rPr>
        <w:t xml:space="preserve">mmission Pension Scheme </w:t>
      </w:r>
    </w:p>
    <w:p w14:paraId="19474E98" w14:textId="1FC44496" w:rsidR="00FD1C00" w:rsidRPr="0066796E" w:rsidRDefault="00F03CCC">
      <w:pPr>
        <w:jc w:val="both"/>
        <w:rPr>
          <w:rFonts w:ascii="Mute" w:hAnsi="Mute"/>
          <w:b/>
          <w:color w:val="1F497D" w:themeColor="text2"/>
          <w:sz w:val="24"/>
          <w:szCs w:val="24"/>
          <w:u w:val="single"/>
        </w:rPr>
      </w:pPr>
      <w:r w:rsidRPr="0066796E">
        <w:rPr>
          <w:rFonts w:ascii="Mute" w:hAnsi="Mute"/>
          <w:b/>
          <w:color w:val="1F497D" w:themeColor="text2"/>
          <w:sz w:val="24"/>
          <w:szCs w:val="24"/>
        </w:rPr>
        <w:t>A</w:t>
      </w:r>
      <w:r w:rsidR="001E2BE8" w:rsidRPr="0066796E">
        <w:rPr>
          <w:rFonts w:ascii="Mute" w:hAnsi="Mute"/>
          <w:b/>
          <w:color w:val="1F497D" w:themeColor="text2"/>
          <w:sz w:val="24"/>
          <w:szCs w:val="24"/>
        </w:rPr>
        <w:t>nnual Engagement Policy Implementation Statement</w:t>
      </w:r>
      <w:r w:rsidR="00FD1C00" w:rsidRPr="0066796E">
        <w:rPr>
          <w:rFonts w:ascii="Mute" w:hAnsi="Mute"/>
          <w:b/>
          <w:color w:val="1F497D" w:themeColor="text2"/>
          <w:sz w:val="24"/>
          <w:szCs w:val="24"/>
        </w:rPr>
        <w:t xml:space="preserve"> to </w:t>
      </w:r>
      <w:r w:rsidR="00676AC3" w:rsidRPr="0066796E">
        <w:rPr>
          <w:rFonts w:ascii="Mute" w:hAnsi="Mute"/>
          <w:b/>
          <w:color w:val="1F497D" w:themeColor="text2"/>
          <w:sz w:val="24"/>
          <w:szCs w:val="24"/>
        </w:rPr>
        <w:t>31 March 202</w:t>
      </w:r>
      <w:r w:rsidR="008D27F4">
        <w:rPr>
          <w:rFonts w:ascii="Mute" w:hAnsi="Mute"/>
          <w:b/>
          <w:color w:val="1F497D" w:themeColor="text2"/>
          <w:sz w:val="24"/>
          <w:szCs w:val="24"/>
        </w:rPr>
        <w:t>2</w:t>
      </w:r>
    </w:p>
    <w:p w14:paraId="64115B78" w14:textId="77777777" w:rsidR="00FD1C00" w:rsidRPr="0066796E" w:rsidRDefault="00FD1C00" w:rsidP="001E2BE8">
      <w:pPr>
        <w:jc w:val="both"/>
        <w:rPr>
          <w:rFonts w:ascii="Mute" w:hAnsi="Mute"/>
          <w:b/>
          <w:color w:val="1F497D" w:themeColor="text2"/>
          <w:sz w:val="24"/>
          <w:szCs w:val="24"/>
          <w:u w:val="single"/>
        </w:rPr>
      </w:pPr>
    </w:p>
    <w:p w14:paraId="7D2F5B73" w14:textId="15CC2243" w:rsidR="001E2BE8" w:rsidRPr="0066796E" w:rsidRDefault="001E2BE8" w:rsidP="00FD1C00">
      <w:pPr>
        <w:pStyle w:val="ListParagraph"/>
        <w:numPr>
          <w:ilvl w:val="0"/>
          <w:numId w:val="27"/>
        </w:numPr>
        <w:jc w:val="both"/>
        <w:rPr>
          <w:rFonts w:ascii="Mute" w:hAnsi="Mute"/>
          <w:b/>
          <w:color w:val="1F497D" w:themeColor="text2"/>
          <w:sz w:val="20"/>
          <w:u w:val="single"/>
        </w:rPr>
      </w:pPr>
      <w:r w:rsidRPr="0066796E">
        <w:rPr>
          <w:rFonts w:ascii="Mute" w:hAnsi="Mute"/>
          <w:b/>
          <w:color w:val="1F497D" w:themeColor="text2"/>
          <w:sz w:val="20"/>
          <w:u w:val="single"/>
        </w:rPr>
        <w:t>Introduction</w:t>
      </w:r>
    </w:p>
    <w:p w14:paraId="534B2D78" w14:textId="77777777" w:rsidR="001E2BE8" w:rsidRPr="0066796E" w:rsidRDefault="001E2BE8" w:rsidP="001E2BE8">
      <w:pPr>
        <w:jc w:val="both"/>
        <w:rPr>
          <w:rFonts w:ascii="Mute" w:hAnsi="Mute"/>
          <w:color w:val="1F497D" w:themeColor="text2"/>
          <w:sz w:val="20"/>
          <w:u w:val="single"/>
        </w:rPr>
      </w:pPr>
    </w:p>
    <w:p w14:paraId="6A528DFB" w14:textId="0ED919A6" w:rsidR="00767F98" w:rsidRPr="0066796E" w:rsidRDefault="001E2BE8" w:rsidP="005903D8">
      <w:pPr>
        <w:rPr>
          <w:rFonts w:ascii="Mute" w:hAnsi="Mute"/>
          <w:color w:val="1F497D" w:themeColor="text2"/>
          <w:sz w:val="20"/>
        </w:rPr>
      </w:pPr>
      <w:r w:rsidRPr="0066796E">
        <w:rPr>
          <w:rFonts w:ascii="Mute" w:hAnsi="Mute"/>
          <w:color w:val="1F497D" w:themeColor="text2"/>
          <w:sz w:val="20"/>
        </w:rPr>
        <w:t xml:space="preserve">This </w:t>
      </w:r>
      <w:r w:rsidR="003164DE" w:rsidRPr="0066796E">
        <w:rPr>
          <w:rFonts w:ascii="Mute" w:hAnsi="Mute"/>
          <w:color w:val="1F497D" w:themeColor="text2"/>
          <w:sz w:val="20"/>
        </w:rPr>
        <w:t>Engagement Policy Implementation S</w:t>
      </w:r>
      <w:r w:rsidRPr="0066796E">
        <w:rPr>
          <w:rFonts w:ascii="Mute" w:hAnsi="Mute"/>
          <w:color w:val="1F497D" w:themeColor="text2"/>
          <w:sz w:val="20"/>
        </w:rPr>
        <w:t>tatement</w:t>
      </w:r>
      <w:r w:rsidR="003164DE" w:rsidRPr="0066796E">
        <w:rPr>
          <w:rFonts w:ascii="Mute" w:hAnsi="Mute"/>
          <w:color w:val="1F497D" w:themeColor="text2"/>
          <w:sz w:val="20"/>
        </w:rPr>
        <w:t xml:space="preserve"> (</w:t>
      </w:r>
      <w:r w:rsidR="00FD1C00" w:rsidRPr="0066796E">
        <w:rPr>
          <w:rFonts w:ascii="Mute" w:hAnsi="Mute"/>
          <w:color w:val="1F497D" w:themeColor="text2"/>
          <w:sz w:val="20"/>
        </w:rPr>
        <w:t>‘t</w:t>
      </w:r>
      <w:r w:rsidR="003164DE" w:rsidRPr="0066796E">
        <w:rPr>
          <w:rFonts w:ascii="Mute" w:hAnsi="Mute"/>
          <w:color w:val="1F497D" w:themeColor="text2"/>
          <w:sz w:val="20"/>
        </w:rPr>
        <w:t>he Statement</w:t>
      </w:r>
      <w:r w:rsidR="00FD1C00" w:rsidRPr="0066796E">
        <w:rPr>
          <w:rFonts w:ascii="Mute" w:hAnsi="Mute"/>
          <w:color w:val="1F497D" w:themeColor="text2"/>
          <w:sz w:val="20"/>
        </w:rPr>
        <w:t>’</w:t>
      </w:r>
      <w:r w:rsidR="003164DE" w:rsidRPr="0066796E">
        <w:rPr>
          <w:rFonts w:ascii="Mute" w:hAnsi="Mute"/>
          <w:color w:val="1F497D" w:themeColor="text2"/>
          <w:sz w:val="20"/>
        </w:rPr>
        <w:t>)</w:t>
      </w:r>
      <w:r w:rsidRPr="0066796E">
        <w:rPr>
          <w:rFonts w:ascii="Mute" w:hAnsi="Mute"/>
          <w:color w:val="1F497D" w:themeColor="text2"/>
          <w:sz w:val="20"/>
        </w:rPr>
        <w:t xml:space="preserve"> sets out how, and the extent to which, the Engagement Policy in the Statement of Investment Principles (‘SIP’) produced by the Trustee has been followed during the year to </w:t>
      </w:r>
      <w:r w:rsidR="007101D3" w:rsidRPr="0066796E">
        <w:rPr>
          <w:rFonts w:ascii="Mute" w:hAnsi="Mute"/>
          <w:color w:val="1F497D" w:themeColor="text2"/>
          <w:sz w:val="20"/>
        </w:rPr>
        <w:t>31 March 202</w:t>
      </w:r>
      <w:r w:rsidR="00FA4B9B" w:rsidRPr="0066796E">
        <w:rPr>
          <w:rFonts w:ascii="Mute" w:hAnsi="Mute"/>
          <w:color w:val="1F497D" w:themeColor="text2"/>
          <w:sz w:val="20"/>
        </w:rPr>
        <w:t>2</w:t>
      </w:r>
      <w:r w:rsidRPr="0066796E">
        <w:rPr>
          <w:rFonts w:ascii="Mute" w:hAnsi="Mute"/>
          <w:color w:val="1F497D" w:themeColor="text2"/>
          <w:sz w:val="20"/>
        </w:rPr>
        <w:t>.  This statement has been produced in accordance with The Pension Protection Fund (Pensionable Service) and Occupational Pension Schemes (Investment and Disclosure) (Amendment and Modification) Regulations 2018 and the subsequent amendment in The Occupational Pension Schemes (Investment and Disclosure) (Amendment) Regulations 2019</w:t>
      </w:r>
      <w:r w:rsidR="00A11BEF" w:rsidRPr="0066796E">
        <w:rPr>
          <w:rFonts w:ascii="Mute" w:hAnsi="Mute"/>
          <w:color w:val="1F497D" w:themeColor="text2"/>
          <w:sz w:val="20"/>
        </w:rPr>
        <w:t>, which transposes</w:t>
      </w:r>
      <w:r w:rsidR="000A1045" w:rsidRPr="0066796E">
        <w:rPr>
          <w:rFonts w:ascii="Mute" w:hAnsi="Mute"/>
          <w:color w:val="1F497D" w:themeColor="text2"/>
          <w:sz w:val="20"/>
        </w:rPr>
        <w:t xml:space="preserve"> the EU Shareholder Rights Directive (SRD II) into UK law</w:t>
      </w:r>
      <w:r w:rsidR="00FA4B9B" w:rsidRPr="0066796E">
        <w:rPr>
          <w:rFonts w:ascii="Mute" w:hAnsi="Mute"/>
          <w:color w:val="1F497D" w:themeColor="text2"/>
          <w:sz w:val="20"/>
        </w:rPr>
        <w:t>, along with guidance published by the Pensions Regulator</w:t>
      </w:r>
    </w:p>
    <w:p w14:paraId="45B29656" w14:textId="6F3E29EC" w:rsidR="00FD1C00" w:rsidRPr="0066796E" w:rsidRDefault="00FD1C00" w:rsidP="005903D8">
      <w:pPr>
        <w:rPr>
          <w:rFonts w:ascii="Mute" w:hAnsi="Mute"/>
          <w:color w:val="1F497D" w:themeColor="text2"/>
          <w:sz w:val="20"/>
        </w:rPr>
      </w:pPr>
    </w:p>
    <w:p w14:paraId="3EDB23EB" w14:textId="67700AD1" w:rsidR="00FD1C00" w:rsidRPr="0066796E" w:rsidRDefault="00325A37" w:rsidP="005903D8">
      <w:pPr>
        <w:rPr>
          <w:rFonts w:ascii="Mute" w:hAnsi="Mute"/>
          <w:color w:val="1F497D" w:themeColor="text2"/>
          <w:sz w:val="20"/>
        </w:rPr>
      </w:pPr>
      <w:r w:rsidRPr="0066796E">
        <w:rPr>
          <w:rFonts w:ascii="Mute" w:hAnsi="Mute"/>
          <w:color w:val="1F497D" w:themeColor="text2"/>
          <w:sz w:val="20"/>
        </w:rPr>
        <w:t>Section 2 of this Statement provides detail of</w:t>
      </w:r>
      <w:r w:rsidR="00FD1C00" w:rsidRPr="0066796E">
        <w:rPr>
          <w:rFonts w:ascii="Mute" w:hAnsi="Mute"/>
          <w:color w:val="1F497D" w:themeColor="text2"/>
          <w:sz w:val="20"/>
        </w:rPr>
        <w:t xml:space="preserve"> the actions taken by the Trustee</w:t>
      </w:r>
      <w:r w:rsidR="009449C8" w:rsidRPr="0066796E">
        <w:rPr>
          <w:rFonts w:ascii="Mute" w:hAnsi="Mute"/>
          <w:color w:val="1F497D" w:themeColor="text2"/>
          <w:sz w:val="20"/>
        </w:rPr>
        <w:t xml:space="preserve"> </w:t>
      </w:r>
      <w:r w:rsidR="00FD1C00" w:rsidRPr="0066796E">
        <w:rPr>
          <w:rFonts w:ascii="Mute" w:hAnsi="Mute"/>
          <w:color w:val="1F497D" w:themeColor="text2"/>
          <w:sz w:val="20"/>
        </w:rPr>
        <w:t xml:space="preserve">to meet the </w:t>
      </w:r>
      <w:r w:rsidR="007101D3" w:rsidRPr="0066796E">
        <w:rPr>
          <w:rFonts w:ascii="Mute" w:hAnsi="Mute"/>
          <w:color w:val="1F497D" w:themeColor="text2"/>
          <w:sz w:val="20"/>
        </w:rPr>
        <w:t>Scheme</w:t>
      </w:r>
      <w:r w:rsidR="00FD1C00" w:rsidRPr="0066796E">
        <w:rPr>
          <w:rFonts w:ascii="Mute" w:hAnsi="Mute"/>
          <w:color w:val="1F497D" w:themeColor="text2"/>
          <w:sz w:val="20"/>
        </w:rPr>
        <w:t>’s engagement polic</w:t>
      </w:r>
      <w:r w:rsidRPr="0066796E">
        <w:rPr>
          <w:rFonts w:ascii="Mute" w:hAnsi="Mute"/>
          <w:color w:val="1F497D" w:themeColor="text2"/>
          <w:sz w:val="20"/>
        </w:rPr>
        <w:t>ies</w:t>
      </w:r>
      <w:r w:rsidR="00FD1C00" w:rsidRPr="0066796E">
        <w:rPr>
          <w:rFonts w:ascii="Mute" w:hAnsi="Mute"/>
          <w:color w:val="1F497D" w:themeColor="text2"/>
          <w:sz w:val="20"/>
        </w:rPr>
        <w:t xml:space="preserve"> set out in the SIP over the year</w:t>
      </w:r>
      <w:r w:rsidRPr="0066796E">
        <w:rPr>
          <w:rFonts w:ascii="Mute" w:hAnsi="Mute"/>
          <w:color w:val="1F497D" w:themeColor="text2"/>
          <w:sz w:val="20"/>
        </w:rPr>
        <w:t>. Section 3</w:t>
      </w:r>
      <w:r w:rsidR="00FD1C00" w:rsidRPr="0066796E">
        <w:rPr>
          <w:rFonts w:ascii="Mute" w:hAnsi="Mute"/>
          <w:color w:val="1F497D" w:themeColor="text2"/>
          <w:sz w:val="20"/>
        </w:rPr>
        <w:t xml:space="preserve"> describes the voting behaviour on behalf of the </w:t>
      </w:r>
      <w:r w:rsidR="00997321" w:rsidRPr="0066796E">
        <w:rPr>
          <w:rFonts w:ascii="Mute" w:hAnsi="Mute"/>
          <w:color w:val="1F497D" w:themeColor="text2"/>
          <w:sz w:val="20"/>
        </w:rPr>
        <w:t xml:space="preserve">Trustee </w:t>
      </w:r>
      <w:r w:rsidR="00836AFC" w:rsidRPr="0066796E">
        <w:rPr>
          <w:rFonts w:ascii="Mute" w:hAnsi="Mute"/>
          <w:color w:val="1F497D" w:themeColor="text2"/>
          <w:sz w:val="20"/>
        </w:rPr>
        <w:t>along with the relevant statistics over the year</w:t>
      </w:r>
      <w:r w:rsidR="00FD1C00" w:rsidRPr="0066796E">
        <w:rPr>
          <w:rFonts w:ascii="Mute" w:hAnsi="Mute"/>
          <w:color w:val="1F497D" w:themeColor="text2"/>
          <w:sz w:val="20"/>
        </w:rPr>
        <w:t xml:space="preserve">.  </w:t>
      </w:r>
    </w:p>
    <w:p w14:paraId="689512A3" w14:textId="39F8D9BF" w:rsidR="00767F98" w:rsidRPr="0066796E" w:rsidRDefault="00767F98" w:rsidP="005903D8">
      <w:pPr>
        <w:rPr>
          <w:rFonts w:ascii="Mute" w:hAnsi="Mute"/>
          <w:color w:val="1F497D" w:themeColor="text2"/>
          <w:sz w:val="20"/>
        </w:rPr>
      </w:pPr>
    </w:p>
    <w:p w14:paraId="1A086C86" w14:textId="013F068D" w:rsidR="001431A0" w:rsidRPr="0066796E" w:rsidRDefault="00481A30" w:rsidP="005903D8">
      <w:pPr>
        <w:rPr>
          <w:rFonts w:ascii="Mute" w:hAnsi="Mute"/>
          <w:color w:val="1F497D" w:themeColor="text2"/>
          <w:sz w:val="20"/>
        </w:rPr>
      </w:pPr>
      <w:r w:rsidRPr="0066796E">
        <w:rPr>
          <w:rFonts w:ascii="Mute" w:hAnsi="Mute"/>
          <w:color w:val="1F497D" w:themeColor="text2"/>
          <w:sz w:val="20"/>
        </w:rPr>
        <w:t>The Trustee has</w:t>
      </w:r>
      <w:r w:rsidR="007101D3" w:rsidRPr="0066796E">
        <w:rPr>
          <w:rFonts w:ascii="Mute" w:hAnsi="Mute"/>
          <w:color w:val="1F497D" w:themeColor="text2"/>
          <w:sz w:val="20"/>
        </w:rPr>
        <w:t xml:space="preserve"> appointed</w:t>
      </w:r>
      <w:r w:rsidR="001E2BE8" w:rsidRPr="0066796E">
        <w:rPr>
          <w:rFonts w:ascii="Mute" w:hAnsi="Mute"/>
          <w:color w:val="1F497D" w:themeColor="text2"/>
          <w:sz w:val="20"/>
        </w:rPr>
        <w:t xml:space="preserve"> Mercer Limited</w:t>
      </w:r>
      <w:r w:rsidR="00684E20" w:rsidRPr="0066796E">
        <w:rPr>
          <w:rFonts w:ascii="Mute" w:hAnsi="Mute"/>
          <w:color w:val="1F497D" w:themeColor="text2"/>
          <w:sz w:val="20"/>
        </w:rPr>
        <w:t xml:space="preserve"> (Mercer)</w:t>
      </w:r>
      <w:r w:rsidR="001E2BE8" w:rsidRPr="0066796E">
        <w:rPr>
          <w:rFonts w:ascii="Mute" w:hAnsi="Mute"/>
          <w:color w:val="1F497D" w:themeColor="text2"/>
          <w:sz w:val="20"/>
        </w:rPr>
        <w:t xml:space="preserve"> </w:t>
      </w:r>
      <w:r w:rsidR="007101D3" w:rsidRPr="0066796E">
        <w:rPr>
          <w:rFonts w:ascii="Mute" w:hAnsi="Mute"/>
          <w:color w:val="1F497D" w:themeColor="text2"/>
          <w:sz w:val="20"/>
        </w:rPr>
        <w:t>to act</w:t>
      </w:r>
      <w:r w:rsidR="001E2BE8" w:rsidRPr="0066796E">
        <w:rPr>
          <w:rFonts w:ascii="Mute" w:hAnsi="Mute"/>
          <w:color w:val="1F497D" w:themeColor="text2"/>
          <w:sz w:val="20"/>
        </w:rPr>
        <w:t xml:space="preserve"> as </w:t>
      </w:r>
      <w:r w:rsidR="007101D3" w:rsidRPr="0066796E">
        <w:rPr>
          <w:rFonts w:ascii="Mute" w:hAnsi="Mute"/>
          <w:color w:val="1F497D" w:themeColor="text2"/>
          <w:sz w:val="20"/>
        </w:rPr>
        <w:t>the</w:t>
      </w:r>
      <w:r w:rsidR="00227B07" w:rsidRPr="0066796E">
        <w:rPr>
          <w:rFonts w:ascii="Mute" w:hAnsi="Mute"/>
          <w:color w:val="1F497D" w:themeColor="text2"/>
          <w:sz w:val="20"/>
        </w:rPr>
        <w:t xml:space="preserve"> Scheme’s discretionary investment manager</w:t>
      </w:r>
      <w:r w:rsidR="007101D3" w:rsidRPr="0066796E">
        <w:rPr>
          <w:rFonts w:ascii="Mute" w:hAnsi="Mute"/>
          <w:color w:val="1F497D" w:themeColor="text2"/>
          <w:sz w:val="20"/>
        </w:rPr>
        <w:t>.</w:t>
      </w:r>
      <w:r w:rsidR="00227B07" w:rsidRPr="0066796E">
        <w:rPr>
          <w:rFonts w:ascii="Mute" w:hAnsi="Mute"/>
          <w:color w:val="1F497D" w:themeColor="text2"/>
          <w:sz w:val="20"/>
        </w:rPr>
        <w:t xml:space="preserve">  </w:t>
      </w:r>
      <w:r w:rsidR="001E2BE8" w:rsidRPr="0066796E">
        <w:rPr>
          <w:rFonts w:ascii="Mute" w:hAnsi="Mute"/>
          <w:color w:val="1F497D" w:themeColor="text2"/>
          <w:sz w:val="20"/>
        </w:rPr>
        <w:t xml:space="preserve">Pursuant to that appointment, </w:t>
      </w:r>
      <w:r w:rsidR="00227B07" w:rsidRPr="0066796E">
        <w:rPr>
          <w:rFonts w:ascii="Mute" w:hAnsi="Mute"/>
          <w:color w:val="1F497D" w:themeColor="text2"/>
          <w:sz w:val="20"/>
        </w:rPr>
        <w:t xml:space="preserve">Scheme </w:t>
      </w:r>
      <w:r w:rsidR="001E2BE8" w:rsidRPr="0066796E">
        <w:rPr>
          <w:rFonts w:ascii="Mute" w:hAnsi="Mute"/>
          <w:color w:val="1F497D" w:themeColor="text2"/>
          <w:sz w:val="20"/>
        </w:rPr>
        <w:t>monies are invested in Mercer Funds, which are collective investment vehicles, managed by Mercer Global Investments Europe Limited (MGIE)</w:t>
      </w:r>
      <w:r w:rsidR="007101D3" w:rsidRPr="0066796E">
        <w:rPr>
          <w:rFonts w:ascii="Mute" w:hAnsi="Mute"/>
          <w:color w:val="1F497D" w:themeColor="text2"/>
          <w:sz w:val="20"/>
        </w:rPr>
        <w:t xml:space="preserve"> and </w:t>
      </w:r>
      <w:r w:rsidR="001431A0" w:rsidRPr="0066796E">
        <w:rPr>
          <w:rFonts w:ascii="Mute" w:hAnsi="Mute"/>
          <w:color w:val="1F497D" w:themeColor="text2"/>
          <w:sz w:val="20"/>
        </w:rPr>
        <w:t>Mercer Alternative AG</w:t>
      </w:r>
      <w:r w:rsidR="007101D3" w:rsidRPr="0066796E">
        <w:rPr>
          <w:rFonts w:ascii="Mute" w:hAnsi="Mute"/>
          <w:color w:val="1F497D" w:themeColor="text2"/>
          <w:sz w:val="20"/>
        </w:rPr>
        <w:t xml:space="preserve">. </w:t>
      </w:r>
    </w:p>
    <w:p w14:paraId="161C5DDD" w14:textId="77777777" w:rsidR="007D3C32" w:rsidRPr="0066796E" w:rsidRDefault="007D3C32" w:rsidP="005903D8">
      <w:pPr>
        <w:rPr>
          <w:rFonts w:ascii="Mute" w:hAnsi="Mute"/>
          <w:i/>
          <w:iCs/>
          <w:color w:val="1F497D" w:themeColor="text2"/>
          <w:sz w:val="20"/>
        </w:rPr>
      </w:pPr>
    </w:p>
    <w:p w14:paraId="3FC5A1E2" w14:textId="0EE97C12" w:rsidR="001E2BE8" w:rsidRPr="0066796E" w:rsidRDefault="001E2BE8" w:rsidP="005903D8">
      <w:pPr>
        <w:pStyle w:val="ListParagraph"/>
        <w:numPr>
          <w:ilvl w:val="0"/>
          <w:numId w:val="27"/>
        </w:numPr>
        <w:rPr>
          <w:rFonts w:ascii="Mute" w:hAnsi="Mute"/>
          <w:b/>
          <w:color w:val="1F497D" w:themeColor="text2"/>
          <w:sz w:val="20"/>
          <w:u w:val="single"/>
        </w:rPr>
      </w:pPr>
      <w:r w:rsidRPr="0066796E">
        <w:rPr>
          <w:rFonts w:ascii="Mute" w:hAnsi="Mute"/>
          <w:b/>
          <w:color w:val="1F497D" w:themeColor="text2"/>
          <w:sz w:val="20"/>
          <w:u w:val="single"/>
        </w:rPr>
        <w:t>Policy on ESG, Stewardship and Climate Change</w:t>
      </w:r>
    </w:p>
    <w:p w14:paraId="2E497204" w14:textId="49B66AA3" w:rsidR="006D3A7D" w:rsidRPr="0066796E" w:rsidRDefault="006D3A7D" w:rsidP="005903D8">
      <w:pPr>
        <w:rPr>
          <w:rFonts w:ascii="Mute" w:hAnsi="Mute"/>
          <w:b/>
          <w:color w:val="1F497D" w:themeColor="text2"/>
          <w:sz w:val="20"/>
          <w:u w:val="single"/>
        </w:rPr>
      </w:pPr>
    </w:p>
    <w:p w14:paraId="1BE02BCD" w14:textId="46B44210" w:rsidR="001E2BE8" w:rsidRPr="0066796E" w:rsidRDefault="001E2BE8" w:rsidP="005903D8">
      <w:pPr>
        <w:rPr>
          <w:rFonts w:ascii="Mute" w:hAnsi="Mute"/>
          <w:color w:val="1F497D" w:themeColor="text2"/>
          <w:sz w:val="20"/>
        </w:rPr>
      </w:pPr>
      <w:r w:rsidRPr="0066796E">
        <w:rPr>
          <w:rFonts w:ascii="Mute" w:hAnsi="Mute"/>
          <w:color w:val="1F497D" w:themeColor="text2"/>
          <w:sz w:val="20"/>
        </w:rPr>
        <w:t xml:space="preserve">The Scheme’s SIP includes the Trustee‘s policy on Environmental, Social and Governance (‘ESG’) factors, stewardship and </w:t>
      </w:r>
      <w:r w:rsidR="00684E20" w:rsidRPr="0066796E">
        <w:rPr>
          <w:rFonts w:ascii="Mute" w:hAnsi="Mute"/>
          <w:color w:val="1F497D" w:themeColor="text2"/>
          <w:sz w:val="20"/>
        </w:rPr>
        <w:t>climate c</w:t>
      </w:r>
      <w:r w:rsidRPr="0066796E">
        <w:rPr>
          <w:rFonts w:ascii="Mute" w:hAnsi="Mute"/>
          <w:color w:val="1F497D" w:themeColor="text2"/>
          <w:sz w:val="20"/>
        </w:rPr>
        <w:t xml:space="preserve">hange.  This policy sets out the Trustee‘s beliefs on ESG and climate change and the processes followed by the Trustee in relation to voting rights and stewardship.  </w:t>
      </w:r>
    </w:p>
    <w:p w14:paraId="330DE768" w14:textId="77777777" w:rsidR="007116E3" w:rsidRPr="0066796E" w:rsidRDefault="007116E3" w:rsidP="005903D8">
      <w:pPr>
        <w:rPr>
          <w:rFonts w:ascii="Mute" w:hAnsi="Mute"/>
          <w:color w:val="1F497D" w:themeColor="text2"/>
          <w:sz w:val="20"/>
        </w:rPr>
      </w:pPr>
    </w:p>
    <w:p w14:paraId="7AA340C5" w14:textId="5C0140DB" w:rsidR="008A5153" w:rsidRPr="0066796E" w:rsidRDefault="00684E20" w:rsidP="008A5153">
      <w:pPr>
        <w:spacing w:after="160" w:line="259" w:lineRule="auto"/>
        <w:rPr>
          <w:rFonts w:ascii="Mute" w:hAnsi="Mute"/>
          <w:color w:val="1F497D" w:themeColor="text2"/>
          <w:sz w:val="20"/>
        </w:rPr>
      </w:pPr>
      <w:r w:rsidRPr="0066796E">
        <w:rPr>
          <w:rFonts w:ascii="Mute" w:hAnsi="Mute"/>
          <w:color w:val="1F497D" w:themeColor="text2"/>
          <w:sz w:val="20"/>
        </w:rPr>
        <w:t>As noted in the SIP, t</w:t>
      </w:r>
      <w:r w:rsidR="006D3A7D" w:rsidRPr="0066796E">
        <w:rPr>
          <w:rFonts w:ascii="Mute" w:hAnsi="Mute"/>
          <w:color w:val="1F497D" w:themeColor="text2"/>
          <w:sz w:val="20"/>
        </w:rPr>
        <w:t>he Trustee believe</w:t>
      </w:r>
      <w:r w:rsidR="007101D3" w:rsidRPr="0066796E">
        <w:rPr>
          <w:rFonts w:ascii="Mute" w:hAnsi="Mute"/>
          <w:color w:val="1F497D" w:themeColor="text2"/>
          <w:sz w:val="20"/>
        </w:rPr>
        <w:t>s</w:t>
      </w:r>
      <w:r w:rsidR="006D3A7D" w:rsidRPr="0066796E">
        <w:rPr>
          <w:rFonts w:ascii="Mute" w:hAnsi="Mute"/>
          <w:color w:val="1F497D" w:themeColor="text2"/>
          <w:sz w:val="20"/>
        </w:rPr>
        <w:t xml:space="preserve"> that </w:t>
      </w:r>
      <w:r w:rsidR="005965AE" w:rsidRPr="0066796E">
        <w:rPr>
          <w:rFonts w:ascii="Mute" w:hAnsi="Mute"/>
          <w:color w:val="1F497D" w:themeColor="text2"/>
          <w:sz w:val="20"/>
        </w:rPr>
        <w:t>ESG</w:t>
      </w:r>
      <w:r w:rsidR="006D3A7D" w:rsidRPr="0066796E">
        <w:rPr>
          <w:rFonts w:ascii="Mute" w:hAnsi="Mute"/>
          <w:color w:val="1F497D" w:themeColor="text2"/>
          <w:sz w:val="20"/>
        </w:rPr>
        <w:t xml:space="preserve"> factors may have a material impact on investment risk and return outcomes, and that good stewardship can create and preserve value for companies and </w:t>
      </w:r>
      <w:r w:rsidR="00481A30" w:rsidRPr="0066796E">
        <w:rPr>
          <w:rFonts w:ascii="Mute" w:hAnsi="Mute"/>
          <w:color w:val="1F497D" w:themeColor="text2"/>
          <w:sz w:val="20"/>
        </w:rPr>
        <w:t>markets as a whole. The Trustee</w:t>
      </w:r>
      <w:r w:rsidR="006D3A7D" w:rsidRPr="0066796E">
        <w:rPr>
          <w:rFonts w:ascii="Mute" w:hAnsi="Mute"/>
          <w:color w:val="1F497D" w:themeColor="text2"/>
          <w:sz w:val="20"/>
        </w:rPr>
        <w:t xml:space="preserve"> also recognise</w:t>
      </w:r>
      <w:r w:rsidR="00481A30" w:rsidRPr="0066796E">
        <w:rPr>
          <w:rFonts w:ascii="Mute" w:hAnsi="Mute"/>
          <w:color w:val="1F497D" w:themeColor="text2"/>
          <w:sz w:val="20"/>
        </w:rPr>
        <w:t>s</w:t>
      </w:r>
      <w:r w:rsidR="006D3A7D" w:rsidRPr="0066796E">
        <w:rPr>
          <w:rFonts w:ascii="Mute" w:hAnsi="Mute"/>
          <w:color w:val="1F497D" w:themeColor="text2"/>
          <w:sz w:val="20"/>
        </w:rPr>
        <w:t xml:space="preserve"> that long-term sustainability issues, particularly climate change, present risks and opportunities that increasingly may require explicit consideration.</w:t>
      </w:r>
    </w:p>
    <w:p w14:paraId="1EC9A6A0" w14:textId="305EC694" w:rsidR="008A5153" w:rsidRPr="0066796E" w:rsidRDefault="00FA022A" w:rsidP="008A5153">
      <w:pPr>
        <w:spacing w:after="160" w:line="259" w:lineRule="auto"/>
        <w:rPr>
          <w:rFonts w:ascii="Mute" w:hAnsi="Mute"/>
          <w:color w:val="1F497D" w:themeColor="text2"/>
          <w:sz w:val="20"/>
        </w:rPr>
      </w:pPr>
      <w:r>
        <w:rPr>
          <w:rFonts w:ascii="Mute" w:hAnsi="Mute"/>
          <w:color w:val="1F497D" w:themeColor="text2"/>
          <w:sz w:val="20"/>
        </w:rPr>
        <w:t>T</w:t>
      </w:r>
      <w:r w:rsidR="00481A30" w:rsidRPr="0066796E">
        <w:rPr>
          <w:rFonts w:ascii="Mute" w:hAnsi="Mute"/>
          <w:color w:val="1F497D" w:themeColor="text2"/>
          <w:sz w:val="20"/>
        </w:rPr>
        <w:t xml:space="preserve">he Trustee </w:t>
      </w:r>
      <w:r>
        <w:rPr>
          <w:rFonts w:ascii="Mute" w:hAnsi="Mute"/>
          <w:color w:val="1F497D" w:themeColor="text2"/>
          <w:sz w:val="20"/>
        </w:rPr>
        <w:t xml:space="preserve">has </w:t>
      </w:r>
      <w:r w:rsidR="008A5153" w:rsidRPr="0066796E">
        <w:rPr>
          <w:rFonts w:ascii="Mute" w:hAnsi="Mute"/>
          <w:color w:val="1F497D" w:themeColor="text2"/>
          <w:sz w:val="20"/>
        </w:rPr>
        <w:t xml:space="preserve">appointed Mercer to act as discretionary investment manager in respect of the Scheme’s assets and such assets are invested in a range of Mercer Funds managed by MGIE.  Asset managers appointed to manage the Mercer Funds are expected to evaluate ESG factors, including climate change considerations, and exercise voting rights and stewardship obligations attached to the investments, in accordance with their own corporate governance policies and current best practice, including the UK Corporate Governance Code and UK Stewardship Code. </w:t>
      </w:r>
    </w:p>
    <w:p w14:paraId="6734946F" w14:textId="3A4AE335" w:rsidR="001E2BE8" w:rsidRPr="0066796E" w:rsidRDefault="001E2BE8" w:rsidP="005903D8">
      <w:pPr>
        <w:rPr>
          <w:rFonts w:ascii="Mute" w:hAnsi="Mute"/>
          <w:color w:val="1F497D" w:themeColor="text2"/>
          <w:sz w:val="20"/>
        </w:rPr>
      </w:pPr>
      <w:r w:rsidRPr="0066796E">
        <w:rPr>
          <w:rFonts w:ascii="Mute" w:hAnsi="Mute"/>
          <w:color w:val="1F497D" w:themeColor="text2"/>
          <w:sz w:val="20"/>
        </w:rPr>
        <w:t>The following work was undertaken during the year relating to the Trustee‘s policy on ESG factors, stewardship and climate change, and sets out how the Trustee‘s engagement and voting policies were followed and implemented during the year</w:t>
      </w:r>
      <w:r w:rsidR="007101D3" w:rsidRPr="0066796E">
        <w:rPr>
          <w:rFonts w:ascii="Mute" w:hAnsi="Mute"/>
          <w:color w:val="1F497D" w:themeColor="text2"/>
          <w:sz w:val="20"/>
        </w:rPr>
        <w:t xml:space="preserve"> by Mercer</w:t>
      </w:r>
      <w:r w:rsidR="00FA4B9B" w:rsidRPr="0066796E">
        <w:rPr>
          <w:rFonts w:ascii="Mute" w:hAnsi="Mute"/>
          <w:color w:val="1F497D" w:themeColor="text2"/>
          <w:sz w:val="20"/>
        </w:rPr>
        <w:t>.</w:t>
      </w:r>
    </w:p>
    <w:p w14:paraId="752BDC5F" w14:textId="77777777" w:rsidR="001E2BE8" w:rsidRPr="0066796E" w:rsidRDefault="001E2BE8" w:rsidP="005903D8">
      <w:pPr>
        <w:rPr>
          <w:rFonts w:ascii="Mute" w:hAnsi="Mute"/>
          <w:color w:val="1F497D" w:themeColor="text2"/>
          <w:sz w:val="20"/>
        </w:rPr>
      </w:pPr>
    </w:p>
    <w:p w14:paraId="1C860DE9" w14:textId="5DD06FB2" w:rsidR="00227B07" w:rsidRPr="0066796E" w:rsidRDefault="00227B07" w:rsidP="005903D8">
      <w:pPr>
        <w:pStyle w:val="ListParagraph"/>
        <w:spacing w:after="160" w:line="259" w:lineRule="auto"/>
        <w:rPr>
          <w:rFonts w:ascii="Mute" w:hAnsi="Mute"/>
          <w:color w:val="1F497D" w:themeColor="text2"/>
          <w:sz w:val="20"/>
          <w:lang w:eastAsia="en-GB"/>
        </w:rPr>
      </w:pPr>
    </w:p>
    <w:p w14:paraId="2059E784" w14:textId="3413835A" w:rsidR="00227B07" w:rsidRPr="0066796E" w:rsidRDefault="00227B07" w:rsidP="005903D8">
      <w:pPr>
        <w:pStyle w:val="ListParagraph"/>
        <w:spacing w:after="160" w:line="259" w:lineRule="auto"/>
        <w:rPr>
          <w:rFonts w:ascii="Mute" w:hAnsi="Mute"/>
          <w:color w:val="1F497D" w:themeColor="text2"/>
          <w:sz w:val="20"/>
          <w:lang w:eastAsia="en-GB"/>
        </w:rPr>
      </w:pPr>
    </w:p>
    <w:p w14:paraId="6BA2E9B6" w14:textId="6907C6EE" w:rsidR="00227B07" w:rsidRPr="0066796E" w:rsidRDefault="00227B07" w:rsidP="005903D8">
      <w:pPr>
        <w:pStyle w:val="ListParagraph"/>
        <w:spacing w:after="160" w:line="259" w:lineRule="auto"/>
        <w:rPr>
          <w:rFonts w:ascii="Mute" w:hAnsi="Mute"/>
          <w:color w:val="1F497D" w:themeColor="text2"/>
          <w:sz w:val="20"/>
          <w:lang w:eastAsia="en-GB"/>
        </w:rPr>
      </w:pPr>
    </w:p>
    <w:p w14:paraId="2775F56C" w14:textId="6EC067BA" w:rsidR="00C52D9C" w:rsidRPr="0066796E" w:rsidRDefault="00C52D9C" w:rsidP="00C52D9C">
      <w:pPr>
        <w:spacing w:after="160" w:line="259" w:lineRule="auto"/>
        <w:rPr>
          <w:rFonts w:ascii="Mute" w:hAnsi="Mute"/>
          <w:b/>
          <w:color w:val="1F497D" w:themeColor="text2"/>
          <w:sz w:val="20"/>
          <w:lang w:eastAsia="en-GB"/>
        </w:rPr>
      </w:pPr>
      <w:r w:rsidRPr="0066796E">
        <w:rPr>
          <w:rFonts w:ascii="Mute" w:hAnsi="Mute"/>
          <w:b/>
          <w:color w:val="1F497D" w:themeColor="text2"/>
          <w:sz w:val="20"/>
          <w:lang w:eastAsia="en-GB"/>
        </w:rPr>
        <w:lastRenderedPageBreak/>
        <w:t xml:space="preserve">Policy Updates </w:t>
      </w:r>
    </w:p>
    <w:p w14:paraId="3355CB51" w14:textId="77777777" w:rsidR="005040FC" w:rsidRPr="0066796E" w:rsidRDefault="005040FC" w:rsidP="005040FC">
      <w:pPr>
        <w:pStyle w:val="ListParagraph"/>
        <w:spacing w:after="160" w:line="259" w:lineRule="auto"/>
        <w:rPr>
          <w:rFonts w:ascii="Mute" w:hAnsi="Mute"/>
          <w:color w:val="1F497D" w:themeColor="text2"/>
          <w:sz w:val="20"/>
          <w:lang w:eastAsia="en-GB"/>
        </w:rPr>
      </w:pPr>
    </w:p>
    <w:p w14:paraId="07975FED" w14:textId="62448163" w:rsidR="005040FC" w:rsidRPr="0066796E" w:rsidRDefault="007116E3" w:rsidP="00262C5E">
      <w:pPr>
        <w:pStyle w:val="ListParagraph"/>
        <w:numPr>
          <w:ilvl w:val="0"/>
          <w:numId w:val="24"/>
        </w:numPr>
        <w:spacing w:after="60" w:line="259" w:lineRule="auto"/>
        <w:jc w:val="both"/>
        <w:rPr>
          <w:rFonts w:ascii="Mute" w:hAnsi="Mute"/>
          <w:color w:val="1F497D" w:themeColor="text2"/>
          <w:sz w:val="20"/>
        </w:rPr>
      </w:pPr>
      <w:r w:rsidRPr="0066796E">
        <w:rPr>
          <w:rFonts w:ascii="Mute" w:hAnsi="Mute"/>
          <w:color w:val="1F497D" w:themeColor="text2"/>
          <w:sz w:val="20"/>
        </w:rPr>
        <w:t>The Trustee consider</w:t>
      </w:r>
      <w:r w:rsidR="007101D3" w:rsidRPr="0066796E">
        <w:rPr>
          <w:rFonts w:ascii="Mute" w:hAnsi="Mute"/>
          <w:color w:val="1F497D" w:themeColor="text2"/>
          <w:sz w:val="20"/>
        </w:rPr>
        <w:t>s</w:t>
      </w:r>
      <w:r w:rsidRPr="0066796E">
        <w:rPr>
          <w:rFonts w:ascii="Mute" w:hAnsi="Mute"/>
          <w:color w:val="1F497D" w:themeColor="text2"/>
          <w:sz w:val="20"/>
        </w:rPr>
        <w:t xml:space="preserve"> how ESG, climate change and stewardship </w:t>
      </w:r>
      <w:r w:rsidR="007101D3" w:rsidRPr="0066796E">
        <w:rPr>
          <w:rFonts w:ascii="Mute" w:hAnsi="Mute"/>
          <w:color w:val="1F497D" w:themeColor="text2"/>
          <w:sz w:val="20"/>
        </w:rPr>
        <w:t xml:space="preserve">are </w:t>
      </w:r>
      <w:r w:rsidRPr="0066796E">
        <w:rPr>
          <w:rFonts w:ascii="Mute" w:hAnsi="Mute"/>
          <w:color w:val="1F497D" w:themeColor="text2"/>
          <w:sz w:val="20"/>
        </w:rPr>
        <w:t xml:space="preserve">integrated within </w:t>
      </w:r>
      <w:r w:rsidR="007101D3" w:rsidRPr="0066796E">
        <w:rPr>
          <w:rFonts w:ascii="Mute" w:hAnsi="Mute"/>
          <w:color w:val="1F497D" w:themeColor="text2"/>
          <w:sz w:val="20"/>
        </w:rPr>
        <w:t xml:space="preserve">the investment processes of </w:t>
      </w:r>
      <w:r w:rsidRPr="0066796E">
        <w:rPr>
          <w:rFonts w:ascii="Mute" w:hAnsi="Mute"/>
          <w:color w:val="1F497D" w:themeColor="text2"/>
          <w:sz w:val="20"/>
        </w:rPr>
        <w:t>Mercer, and MGIE’s, investment processes and those of the underlying asset managers</w:t>
      </w:r>
      <w:r w:rsidR="007101D3" w:rsidRPr="0066796E">
        <w:rPr>
          <w:rFonts w:ascii="Mute" w:hAnsi="Mute"/>
          <w:color w:val="1F497D" w:themeColor="text2"/>
          <w:sz w:val="20"/>
        </w:rPr>
        <w:t>.</w:t>
      </w:r>
      <w:r w:rsidR="00227B07" w:rsidRPr="0066796E">
        <w:rPr>
          <w:rFonts w:ascii="Mute" w:hAnsi="Mute"/>
          <w:color w:val="1F497D" w:themeColor="text2"/>
          <w:sz w:val="20"/>
        </w:rPr>
        <w:t xml:space="preserve">  </w:t>
      </w:r>
      <w:r w:rsidRPr="0066796E">
        <w:rPr>
          <w:rFonts w:ascii="Mute" w:hAnsi="Mute"/>
          <w:color w:val="1F497D" w:themeColor="text2"/>
          <w:sz w:val="20"/>
        </w:rPr>
        <w:t xml:space="preserve">Mercer, and MGIE, </w:t>
      </w:r>
      <w:r w:rsidR="006D3A7D" w:rsidRPr="0066796E">
        <w:rPr>
          <w:rFonts w:ascii="Mute" w:hAnsi="Mute"/>
          <w:color w:val="1F497D" w:themeColor="text2"/>
          <w:sz w:val="20"/>
        </w:rPr>
        <w:t>have</w:t>
      </w:r>
      <w:r w:rsidRPr="0066796E">
        <w:rPr>
          <w:rFonts w:ascii="Mute" w:hAnsi="Mute"/>
          <w:color w:val="1F497D" w:themeColor="text2"/>
          <w:sz w:val="20"/>
        </w:rPr>
        <w:t xml:space="preserve"> provide</w:t>
      </w:r>
      <w:r w:rsidR="006D3A7D" w:rsidRPr="0066796E">
        <w:rPr>
          <w:rFonts w:ascii="Mute" w:hAnsi="Mute"/>
          <w:color w:val="1F497D" w:themeColor="text2"/>
          <w:sz w:val="20"/>
        </w:rPr>
        <w:t>d</w:t>
      </w:r>
      <w:r w:rsidRPr="0066796E">
        <w:rPr>
          <w:rFonts w:ascii="Mute" w:hAnsi="Mute"/>
          <w:color w:val="1F497D" w:themeColor="text2"/>
          <w:sz w:val="20"/>
        </w:rPr>
        <w:t xml:space="preserve"> reporting to the Trustee on a regular basis</w:t>
      </w:r>
      <w:r w:rsidR="005D79EB" w:rsidRPr="0066796E">
        <w:rPr>
          <w:rFonts w:ascii="Mute" w:hAnsi="Mute"/>
          <w:color w:val="1F497D" w:themeColor="text2"/>
          <w:sz w:val="20"/>
        </w:rPr>
        <w:t>.</w:t>
      </w:r>
    </w:p>
    <w:p w14:paraId="79249318" w14:textId="77777777" w:rsidR="00FA4B9B" w:rsidRPr="0066796E" w:rsidRDefault="00FA4B9B" w:rsidP="0066796E">
      <w:pPr>
        <w:pStyle w:val="ListParagraph"/>
        <w:spacing w:after="60" w:line="259" w:lineRule="auto"/>
        <w:jc w:val="both"/>
        <w:rPr>
          <w:rFonts w:ascii="Mute" w:hAnsi="Mute"/>
          <w:color w:val="1F497D" w:themeColor="text2"/>
          <w:sz w:val="20"/>
        </w:rPr>
      </w:pPr>
    </w:p>
    <w:p w14:paraId="7E223A99" w14:textId="554B7AD1" w:rsidR="00FA4B9B" w:rsidRPr="0066796E" w:rsidRDefault="00302AB0" w:rsidP="00FA4B9B">
      <w:pPr>
        <w:pStyle w:val="ListParagraph"/>
        <w:numPr>
          <w:ilvl w:val="0"/>
          <w:numId w:val="24"/>
        </w:numPr>
        <w:spacing w:after="60" w:line="259" w:lineRule="auto"/>
        <w:jc w:val="both"/>
        <w:rPr>
          <w:rFonts w:ascii="Mute" w:hAnsi="Mute"/>
          <w:color w:val="1F497D" w:themeColor="text2"/>
          <w:sz w:val="20"/>
        </w:rPr>
      </w:pPr>
      <w:r w:rsidRPr="0066796E">
        <w:rPr>
          <w:rFonts w:ascii="Mute" w:hAnsi="Mute"/>
          <w:color w:val="1F497D" w:themeColor="text2"/>
          <w:sz w:val="20"/>
        </w:rPr>
        <w:t>T</w:t>
      </w:r>
      <w:r w:rsidR="005040FC" w:rsidRPr="0066796E">
        <w:rPr>
          <w:rFonts w:ascii="Mute" w:hAnsi="Mute"/>
          <w:color w:val="1F497D" w:themeColor="text2"/>
          <w:sz w:val="20"/>
        </w:rPr>
        <w:t xml:space="preserve">he Mercer </w:t>
      </w:r>
      <w:hyperlink r:id="rId12" w:history="1">
        <w:r w:rsidR="005040FC" w:rsidRPr="0066796E">
          <w:rPr>
            <w:rStyle w:val="Hyperlink"/>
            <w:rFonts w:ascii="Mute" w:hAnsi="Mute"/>
            <w:color w:val="1F497D" w:themeColor="text2"/>
            <w:sz w:val="20"/>
          </w:rPr>
          <w:t>Sustainab</w:t>
        </w:r>
        <w:r w:rsidR="009E2541" w:rsidRPr="0066796E">
          <w:rPr>
            <w:rStyle w:val="Hyperlink"/>
            <w:rFonts w:ascii="Mute" w:hAnsi="Mute"/>
            <w:color w:val="1F497D" w:themeColor="text2"/>
            <w:sz w:val="20"/>
          </w:rPr>
          <w:t>ility</w:t>
        </w:r>
        <w:r w:rsidR="005040FC" w:rsidRPr="0066796E">
          <w:rPr>
            <w:rStyle w:val="Hyperlink"/>
            <w:rFonts w:ascii="Mute" w:hAnsi="Mute"/>
            <w:color w:val="1F497D" w:themeColor="text2"/>
            <w:sz w:val="20"/>
          </w:rPr>
          <w:t xml:space="preserve"> Policy</w:t>
        </w:r>
      </w:hyperlink>
      <w:r w:rsidR="005040FC" w:rsidRPr="0066796E">
        <w:rPr>
          <w:rFonts w:ascii="Mute" w:hAnsi="Mute"/>
          <w:color w:val="1F497D" w:themeColor="text2"/>
          <w:sz w:val="20"/>
        </w:rPr>
        <w:t xml:space="preserve"> </w:t>
      </w:r>
      <w:r w:rsidR="008B5AEE" w:rsidRPr="0066796E">
        <w:rPr>
          <w:rFonts w:ascii="Mute" w:hAnsi="Mute"/>
          <w:color w:val="1F497D" w:themeColor="text2"/>
          <w:sz w:val="20"/>
        </w:rPr>
        <w:t>is reviewed regularly</w:t>
      </w:r>
      <w:r w:rsidR="00FA4B9B" w:rsidRPr="0066796E">
        <w:rPr>
          <w:rFonts w:ascii="Mute" w:hAnsi="Mute"/>
          <w:color w:val="1F497D" w:themeColor="text2"/>
          <w:sz w:val="20"/>
        </w:rPr>
        <w:t xml:space="preserve"> In March 2021 there was an update in relation to Sustainable Finance Disclosure Regulation (“SFDR”) implementation.</w:t>
      </w:r>
    </w:p>
    <w:p w14:paraId="658FB2D2" w14:textId="77777777" w:rsidR="00AA0DF9" w:rsidRPr="0066796E" w:rsidRDefault="00AA0DF9" w:rsidP="00AA0DF9">
      <w:pPr>
        <w:pStyle w:val="ListParagraph"/>
        <w:rPr>
          <w:rFonts w:ascii="Mute" w:hAnsi="Mute"/>
          <w:color w:val="1F497D" w:themeColor="text2"/>
          <w:sz w:val="20"/>
          <w:lang w:val="en-US"/>
        </w:rPr>
      </w:pPr>
    </w:p>
    <w:p w14:paraId="0DA9810A" w14:textId="7B31F59A" w:rsidR="005040FC" w:rsidRPr="0066796E" w:rsidRDefault="00AA0DF9" w:rsidP="00262C5E">
      <w:pPr>
        <w:pStyle w:val="ListParagraph"/>
        <w:numPr>
          <w:ilvl w:val="0"/>
          <w:numId w:val="24"/>
        </w:numPr>
        <w:spacing w:after="60" w:line="240" w:lineRule="auto"/>
        <w:jc w:val="both"/>
        <w:rPr>
          <w:rFonts w:ascii="Mute" w:hAnsi="Mute"/>
          <w:color w:val="1F497D" w:themeColor="text2"/>
          <w:sz w:val="20"/>
        </w:rPr>
      </w:pPr>
      <w:r w:rsidRPr="0066796E">
        <w:rPr>
          <w:rFonts w:ascii="Mute" w:hAnsi="Mute"/>
          <w:color w:val="1F497D" w:themeColor="text2"/>
          <w:sz w:val="20"/>
          <w:lang w:val="en-US"/>
        </w:rPr>
        <w:t xml:space="preserve">In line with the requirements of the EU Shareholder Rights Directive II, Mercer have implemented a standalone </w:t>
      </w:r>
      <w:hyperlink r:id="rId13" w:history="1">
        <w:r w:rsidR="0061472D" w:rsidRPr="0061472D">
          <w:rPr>
            <w:rStyle w:val="Hyperlink"/>
            <w:rFonts w:ascii="Mute" w:hAnsi="Mute"/>
            <w:b/>
            <w:color w:val="1F497D" w:themeColor="text2"/>
            <w:sz w:val="20"/>
          </w:rPr>
          <w:t>Engagement Policy</w:t>
        </w:r>
      </w:hyperlink>
      <w:r w:rsidR="0061472D" w:rsidRPr="0061472D">
        <w:rPr>
          <w:color w:val="1F497D" w:themeColor="text2"/>
          <w:szCs w:val="22"/>
        </w:rPr>
        <w:t xml:space="preserve"> </w:t>
      </w:r>
      <w:r w:rsidRPr="0066796E">
        <w:rPr>
          <w:rFonts w:ascii="Mute" w:hAnsi="Mute"/>
          <w:color w:val="1F497D" w:themeColor="text2"/>
          <w:sz w:val="20"/>
          <w:lang w:val="en-US"/>
        </w:rPr>
        <w:t>to specifically address the requirements of the directive. </w:t>
      </w:r>
    </w:p>
    <w:p w14:paraId="62311728" w14:textId="411B808C" w:rsidR="00C52D9C" w:rsidRPr="0066796E" w:rsidRDefault="00C52D9C" w:rsidP="005D79EB">
      <w:pPr>
        <w:pStyle w:val="ListParagraph"/>
        <w:rPr>
          <w:rFonts w:ascii="Mute" w:hAnsi="Mute"/>
          <w:color w:val="1F497D" w:themeColor="text2"/>
          <w:sz w:val="20"/>
        </w:rPr>
      </w:pPr>
    </w:p>
    <w:p w14:paraId="571F5EF6" w14:textId="0F50EB26" w:rsidR="00C52D9C" w:rsidRPr="0066796E" w:rsidRDefault="00C52D9C" w:rsidP="00C52D9C">
      <w:pPr>
        <w:pStyle w:val="ListParagraph"/>
        <w:ind w:left="360"/>
        <w:rPr>
          <w:rFonts w:ascii="Mute" w:hAnsi="Mute"/>
          <w:b/>
          <w:color w:val="1F497D" w:themeColor="text2"/>
          <w:sz w:val="20"/>
        </w:rPr>
      </w:pPr>
      <w:r w:rsidRPr="0066796E">
        <w:rPr>
          <w:rFonts w:ascii="Mute" w:hAnsi="Mute"/>
          <w:b/>
          <w:color w:val="1F497D" w:themeColor="text2"/>
          <w:sz w:val="20"/>
        </w:rPr>
        <w:t>Climate Change Reporting and Carbon Footprinting</w:t>
      </w:r>
    </w:p>
    <w:p w14:paraId="1331DF71" w14:textId="77777777" w:rsidR="00C52D9C" w:rsidRPr="0066796E" w:rsidRDefault="00C52D9C" w:rsidP="005D79EB">
      <w:pPr>
        <w:pStyle w:val="ListParagraph"/>
        <w:rPr>
          <w:rFonts w:ascii="Mute" w:hAnsi="Mute"/>
          <w:color w:val="1F497D" w:themeColor="text2"/>
          <w:sz w:val="20"/>
        </w:rPr>
      </w:pPr>
    </w:p>
    <w:p w14:paraId="106DF710" w14:textId="75F99168" w:rsidR="005516BB" w:rsidRPr="0066796E" w:rsidRDefault="00C52D9C" w:rsidP="005516BB">
      <w:pPr>
        <w:pStyle w:val="ListParagraph"/>
        <w:numPr>
          <w:ilvl w:val="0"/>
          <w:numId w:val="32"/>
        </w:numPr>
        <w:spacing w:after="240"/>
        <w:rPr>
          <w:rFonts w:ascii="Mute" w:hAnsi="Mute"/>
          <w:color w:val="1F497D" w:themeColor="text2"/>
          <w:sz w:val="20"/>
        </w:rPr>
      </w:pPr>
      <w:r w:rsidRPr="0066796E">
        <w:rPr>
          <w:rFonts w:ascii="Mute" w:hAnsi="Mute"/>
          <w:color w:val="1F497D" w:themeColor="text2"/>
          <w:sz w:val="20"/>
          <w:lang w:val="en-US"/>
        </w:rPr>
        <w:t>Mercer undertake climate scenario modeling</w:t>
      </w:r>
      <w:r w:rsidR="005516BB" w:rsidRPr="0066796E">
        <w:rPr>
          <w:rFonts w:ascii="Mute" w:hAnsi="Mute"/>
          <w:color w:val="1F497D" w:themeColor="text2"/>
          <w:sz w:val="20"/>
          <w:lang w:val="en-US"/>
        </w:rPr>
        <w:t xml:space="preserve"> and stress testing </w:t>
      </w:r>
      <w:r w:rsidRPr="0066796E">
        <w:rPr>
          <w:rFonts w:ascii="Mute" w:hAnsi="Mute"/>
          <w:color w:val="1F497D" w:themeColor="text2"/>
          <w:sz w:val="20"/>
          <w:lang w:val="en-US"/>
        </w:rPr>
        <w:t xml:space="preserve">on the Mercer </w:t>
      </w:r>
      <w:r w:rsidR="005516BB" w:rsidRPr="0066796E">
        <w:rPr>
          <w:rFonts w:ascii="Mute" w:hAnsi="Mute"/>
          <w:color w:val="1F497D" w:themeColor="text2"/>
          <w:sz w:val="20"/>
          <w:lang w:val="en-US"/>
        </w:rPr>
        <w:t>multi sector funds</w:t>
      </w:r>
      <w:r w:rsidR="00684E20" w:rsidRPr="0066796E">
        <w:rPr>
          <w:rFonts w:ascii="Mute" w:hAnsi="Mute"/>
          <w:color w:val="1F497D" w:themeColor="text2"/>
          <w:sz w:val="20"/>
          <w:lang w:val="en-US"/>
        </w:rPr>
        <w:t xml:space="preserve"> </w:t>
      </w:r>
      <w:r w:rsidR="005516BB" w:rsidRPr="0066796E">
        <w:rPr>
          <w:rFonts w:ascii="Mute" w:hAnsi="Mute"/>
          <w:color w:val="1F497D" w:themeColor="text2"/>
          <w:sz w:val="20"/>
          <w:lang w:val="en-US"/>
        </w:rPr>
        <w:t>used</w:t>
      </w:r>
      <w:r w:rsidR="00684E20" w:rsidRPr="0066796E">
        <w:rPr>
          <w:rFonts w:ascii="Mute" w:hAnsi="Mute"/>
          <w:color w:val="1F497D" w:themeColor="text2"/>
          <w:sz w:val="20"/>
          <w:lang w:val="en-US"/>
        </w:rPr>
        <w:t xml:space="preserve"> by the Scheme</w:t>
      </w:r>
      <w:r w:rsidRPr="0066796E">
        <w:rPr>
          <w:rFonts w:ascii="Mute" w:hAnsi="Mute"/>
          <w:color w:val="1F497D" w:themeColor="text2"/>
          <w:sz w:val="20"/>
          <w:lang w:val="en-US"/>
        </w:rPr>
        <w:t xml:space="preserve"> on an annual basis, in line with the Task Force on Climate Related Financial Disclosures (TCFD) recommendations, with the latest review as at 3</w:t>
      </w:r>
      <w:r w:rsidR="00FA4B9B" w:rsidRPr="0066796E">
        <w:rPr>
          <w:rFonts w:ascii="Mute" w:hAnsi="Mute"/>
          <w:color w:val="1F497D" w:themeColor="text2"/>
          <w:sz w:val="20"/>
          <w:lang w:val="en-US"/>
        </w:rPr>
        <w:t xml:space="preserve">0 June </w:t>
      </w:r>
      <w:r w:rsidRPr="0066796E">
        <w:rPr>
          <w:rFonts w:ascii="Mute" w:hAnsi="Mute"/>
          <w:color w:val="1F497D" w:themeColor="text2"/>
          <w:sz w:val="20"/>
          <w:lang w:val="en-US"/>
        </w:rPr>
        <w:t>202</w:t>
      </w:r>
      <w:r w:rsidR="00FA4B9B" w:rsidRPr="0066796E">
        <w:rPr>
          <w:rFonts w:ascii="Mute" w:hAnsi="Mute"/>
          <w:color w:val="1F497D" w:themeColor="text2"/>
          <w:sz w:val="20"/>
          <w:lang w:val="en-US"/>
        </w:rPr>
        <w:t>1</w:t>
      </w:r>
      <w:r w:rsidRPr="0066796E">
        <w:rPr>
          <w:rFonts w:ascii="Mute" w:hAnsi="Mute"/>
          <w:color w:val="1F497D" w:themeColor="text2"/>
          <w:sz w:val="20"/>
          <w:lang w:val="en-US"/>
        </w:rPr>
        <w:t xml:space="preserve">.  The results of the climate scenario modelling and carbon footprinting are </w:t>
      </w:r>
      <w:r w:rsidR="006B3254" w:rsidRPr="0066796E">
        <w:rPr>
          <w:rFonts w:ascii="Mute" w:hAnsi="Mute"/>
          <w:color w:val="1F497D" w:themeColor="text2"/>
          <w:sz w:val="20"/>
          <w:lang w:val="en-US"/>
        </w:rPr>
        <w:t>within the</w:t>
      </w:r>
      <w:r w:rsidR="00FA4B9B" w:rsidRPr="0066796E">
        <w:rPr>
          <w:rFonts w:ascii="Mute" w:hAnsi="Mute"/>
          <w:color w:val="1F497D" w:themeColor="text2"/>
          <w:sz w:val="20"/>
          <w:lang w:val="en-US"/>
        </w:rPr>
        <w:t xml:space="preserve"> TCFD compliant </w:t>
      </w:r>
      <w:hyperlink r:id="rId14" w:history="1">
        <w:r w:rsidR="00FA4B9B" w:rsidRPr="00EE3BEC">
          <w:rPr>
            <w:rStyle w:val="Hyperlink"/>
            <w:rFonts w:ascii="Mute" w:hAnsi="Mute"/>
            <w:b/>
            <w:color w:val="1F497D" w:themeColor="text2"/>
            <w:sz w:val="20"/>
          </w:rPr>
          <w:t>Climate Change Management Report</w:t>
        </w:r>
      </w:hyperlink>
      <w:r w:rsidR="00EE3BEC" w:rsidRPr="00EE3BEC">
        <w:rPr>
          <w:rStyle w:val="Hyperlink"/>
          <w:rFonts w:ascii="Mute" w:hAnsi="Mute"/>
          <w:b/>
          <w:color w:val="1F497D" w:themeColor="text2"/>
          <w:sz w:val="20"/>
        </w:rPr>
        <w:t>.</w:t>
      </w:r>
      <w:r w:rsidR="00EE3BEC" w:rsidRPr="00EE3BEC">
        <w:rPr>
          <w:rStyle w:val="Hyperlink"/>
          <w:rFonts w:ascii="Mute" w:hAnsi="Mute"/>
          <w:color w:val="1F497D" w:themeColor="text2"/>
          <w:sz w:val="20"/>
        </w:rPr>
        <w:t xml:space="preserve"> </w:t>
      </w:r>
      <w:r w:rsidR="005516BB" w:rsidRPr="00EE3BEC">
        <w:rPr>
          <w:rFonts w:ascii="Mute" w:hAnsi="Mute"/>
          <w:color w:val="1F497D" w:themeColor="text2"/>
          <w:sz w:val="20"/>
          <w:lang w:val="en-US"/>
        </w:rPr>
        <w:t xml:space="preserve">The </w:t>
      </w:r>
      <w:r w:rsidR="005516BB" w:rsidRPr="0066796E">
        <w:rPr>
          <w:rFonts w:ascii="Mute" w:hAnsi="Mute"/>
          <w:color w:val="1F497D" w:themeColor="text2"/>
          <w:sz w:val="20"/>
          <w:lang w:val="en-US"/>
        </w:rPr>
        <w:t xml:space="preserve">findings of the modelling are integrated into the asset allocation and portfolio construction decisions, with portfolios increasingly aligned with a 2˚C scenario, where consistent with investment objectives and for consistency with the Paris Agreement on Climate Change. </w:t>
      </w:r>
      <w:r w:rsidR="00227B07" w:rsidRPr="0066796E">
        <w:rPr>
          <w:rFonts w:ascii="Mute" w:hAnsi="Mute"/>
          <w:color w:val="1F497D" w:themeColor="text2"/>
          <w:sz w:val="20"/>
          <w:lang w:val="en-US"/>
        </w:rPr>
        <w:t xml:space="preserve"> Additionally, Mercer have recently announced that net zero carbon output will be targeted for the Scheme’s investments by 2050, consistent with a 1.5˚C scenario.</w:t>
      </w:r>
    </w:p>
    <w:p w14:paraId="0D063363" w14:textId="77777777" w:rsidR="00C52D9C" w:rsidRPr="0066796E" w:rsidRDefault="00C52D9C" w:rsidP="00C52D9C">
      <w:pPr>
        <w:pStyle w:val="ListParagraph"/>
        <w:rPr>
          <w:rFonts w:ascii="Mute" w:hAnsi="Mute"/>
          <w:color w:val="1F497D" w:themeColor="text2"/>
          <w:sz w:val="20"/>
        </w:rPr>
      </w:pPr>
    </w:p>
    <w:p w14:paraId="622F1FB5" w14:textId="38A73874" w:rsidR="00C52D9C" w:rsidRPr="0066796E" w:rsidRDefault="00C52D9C" w:rsidP="00C52D9C">
      <w:pPr>
        <w:pStyle w:val="ListParagraph"/>
        <w:numPr>
          <w:ilvl w:val="0"/>
          <w:numId w:val="24"/>
        </w:numPr>
        <w:spacing w:line="240" w:lineRule="auto"/>
        <w:rPr>
          <w:rFonts w:ascii="Mute" w:hAnsi="Mute" w:cs="Calibri"/>
          <w:color w:val="1F497D" w:themeColor="text2"/>
          <w:sz w:val="20"/>
          <w:lang w:val="en-US"/>
        </w:rPr>
      </w:pPr>
      <w:r w:rsidRPr="0066796E">
        <w:rPr>
          <w:rFonts w:ascii="Mute" w:hAnsi="Mute"/>
          <w:color w:val="1F497D" w:themeColor="text2"/>
          <w:sz w:val="20"/>
          <w:lang w:val="en-US"/>
        </w:rPr>
        <w:t xml:space="preserve">Carbon Footprint analysis of all equity funds is completed on a six monthly basis.  From 31 December 2019 the approach </w:t>
      </w:r>
      <w:r w:rsidR="006B3254" w:rsidRPr="0066796E">
        <w:rPr>
          <w:rFonts w:ascii="Mute" w:hAnsi="Mute"/>
          <w:color w:val="1F497D" w:themeColor="text2"/>
          <w:sz w:val="20"/>
          <w:lang w:val="en-US"/>
        </w:rPr>
        <w:t>was</w:t>
      </w:r>
      <w:r w:rsidRPr="0066796E">
        <w:rPr>
          <w:rFonts w:ascii="Mute" w:hAnsi="Mute"/>
          <w:color w:val="1F497D" w:themeColor="text2"/>
          <w:sz w:val="20"/>
          <w:lang w:val="en-US"/>
        </w:rPr>
        <w:t xml:space="preserve"> enhanced to include the top 5 carbon emitters and the top 5 contributors to the Weighted Average Carbon Intensity (WACI) to give the</w:t>
      </w:r>
      <w:r w:rsidR="006B3254" w:rsidRPr="0066796E">
        <w:rPr>
          <w:rFonts w:ascii="Mute" w:hAnsi="Mute"/>
          <w:color w:val="1F497D" w:themeColor="text2"/>
          <w:sz w:val="20"/>
          <w:lang w:val="en-US"/>
        </w:rPr>
        <w:t xml:space="preserve"> Mercer and MGIE</w:t>
      </w:r>
      <w:r w:rsidRPr="0066796E">
        <w:rPr>
          <w:rFonts w:ascii="Mute" w:hAnsi="Mute"/>
          <w:color w:val="1F497D" w:themeColor="text2"/>
          <w:sz w:val="20"/>
          <w:lang w:val="en-US"/>
        </w:rPr>
        <w:t xml:space="preserve"> investment teams additional information to drive engagement with managers.</w:t>
      </w:r>
    </w:p>
    <w:p w14:paraId="6AB01902" w14:textId="77777777" w:rsidR="00C52D9C" w:rsidRPr="0066796E" w:rsidRDefault="00C52D9C" w:rsidP="00C52D9C">
      <w:pPr>
        <w:pStyle w:val="ListParagraph"/>
        <w:rPr>
          <w:rFonts w:ascii="Mute" w:hAnsi="Mute" w:cs="Calibri"/>
          <w:color w:val="1F497D" w:themeColor="text2"/>
          <w:sz w:val="20"/>
          <w:lang w:val="en-US"/>
        </w:rPr>
      </w:pPr>
    </w:p>
    <w:p w14:paraId="1D287ED3" w14:textId="4A2CD8F1" w:rsidR="00C52D9C" w:rsidRPr="0066796E" w:rsidRDefault="00FA4B9B" w:rsidP="00C52D9C">
      <w:pPr>
        <w:pStyle w:val="ListParagraph"/>
        <w:rPr>
          <w:rFonts w:ascii="Mute" w:hAnsi="Mute"/>
          <w:color w:val="1F497D" w:themeColor="text2"/>
          <w:sz w:val="20"/>
        </w:rPr>
      </w:pPr>
      <w:r w:rsidRPr="0066796E">
        <w:rPr>
          <w:rFonts w:ascii="Mute" w:hAnsi="Mute"/>
          <w:color w:val="1F497D" w:themeColor="text2"/>
          <w:sz w:val="20"/>
          <w:szCs w:val="22"/>
        </w:rPr>
        <w:t>The headline Weighted Average Carbon Intensity (“WACI”) metric for all equity funds is reporting in the Quarterly Investment Reports whilst an in-depth analysis of top 5 carbon emitters, the top 5 contributors to the WACI, and the trends over time is completed on an annual basis. The latest in-depth analysis is as at 30 June 2021 and also used by the Mercer and MGIE investment team to drive engagement with managers.</w:t>
      </w:r>
    </w:p>
    <w:p w14:paraId="5981DA19" w14:textId="77777777" w:rsidR="002E63F9" w:rsidRPr="0066796E" w:rsidRDefault="002E63F9" w:rsidP="00C52D9C">
      <w:pPr>
        <w:pStyle w:val="ListParagraph"/>
        <w:spacing w:after="60"/>
        <w:ind w:left="360"/>
        <w:jc w:val="both"/>
        <w:rPr>
          <w:rFonts w:ascii="Mute" w:hAnsi="Mute"/>
          <w:b/>
          <w:color w:val="1F497D" w:themeColor="text2"/>
          <w:sz w:val="20"/>
        </w:rPr>
      </w:pPr>
    </w:p>
    <w:p w14:paraId="31B35126" w14:textId="77777777" w:rsidR="002E63F9" w:rsidRPr="0066796E" w:rsidRDefault="002E63F9" w:rsidP="00C52D9C">
      <w:pPr>
        <w:pStyle w:val="ListParagraph"/>
        <w:spacing w:after="60"/>
        <w:ind w:left="360"/>
        <w:jc w:val="both"/>
        <w:rPr>
          <w:rFonts w:ascii="Mute" w:hAnsi="Mute"/>
          <w:b/>
          <w:color w:val="1F497D" w:themeColor="text2"/>
          <w:sz w:val="20"/>
        </w:rPr>
      </w:pPr>
    </w:p>
    <w:p w14:paraId="43368210" w14:textId="6598CB12" w:rsidR="00C52D9C" w:rsidRPr="0066796E" w:rsidRDefault="00C52D9C" w:rsidP="00C52D9C">
      <w:pPr>
        <w:pStyle w:val="ListParagraph"/>
        <w:spacing w:after="60"/>
        <w:ind w:left="360"/>
        <w:jc w:val="both"/>
        <w:rPr>
          <w:rFonts w:ascii="Mute" w:hAnsi="Mute"/>
          <w:b/>
          <w:color w:val="1F497D" w:themeColor="text2"/>
          <w:sz w:val="20"/>
        </w:rPr>
      </w:pPr>
      <w:r w:rsidRPr="0066796E">
        <w:rPr>
          <w:rFonts w:ascii="Mute" w:hAnsi="Mute"/>
          <w:b/>
          <w:color w:val="1F497D" w:themeColor="text2"/>
          <w:sz w:val="20"/>
        </w:rPr>
        <w:t xml:space="preserve">ESG Rating Review </w:t>
      </w:r>
    </w:p>
    <w:p w14:paraId="61F942A3" w14:textId="77777777" w:rsidR="007116E3" w:rsidRPr="0066796E" w:rsidRDefault="007116E3" w:rsidP="007116E3">
      <w:pPr>
        <w:pStyle w:val="ListParagraph"/>
        <w:spacing w:after="160" w:line="259" w:lineRule="auto"/>
        <w:jc w:val="both"/>
        <w:rPr>
          <w:rFonts w:ascii="Mute" w:hAnsi="Mute"/>
          <w:color w:val="1F497D" w:themeColor="text2"/>
          <w:sz w:val="20"/>
        </w:rPr>
      </w:pPr>
    </w:p>
    <w:p w14:paraId="1AEB38B0" w14:textId="50D3D65F" w:rsidR="005040FC" w:rsidRPr="0066796E" w:rsidRDefault="002E63F9" w:rsidP="00262C5E">
      <w:pPr>
        <w:pStyle w:val="ListParagraph"/>
        <w:numPr>
          <w:ilvl w:val="0"/>
          <w:numId w:val="28"/>
        </w:numPr>
        <w:spacing w:after="60" w:line="259" w:lineRule="auto"/>
        <w:jc w:val="both"/>
        <w:rPr>
          <w:rFonts w:ascii="Mute" w:hAnsi="Mute"/>
          <w:color w:val="1F497D" w:themeColor="text2"/>
          <w:sz w:val="20"/>
        </w:rPr>
      </w:pPr>
      <w:r w:rsidRPr="0066796E">
        <w:rPr>
          <w:rFonts w:ascii="Mute" w:hAnsi="Mute"/>
          <w:color w:val="1F497D" w:themeColor="text2"/>
          <w:sz w:val="20"/>
        </w:rPr>
        <w:t>ESG ratings assigned by Mercer (and its affiliates’) global manager research team, are included in the investment performance reports produced by Mercer on a quarterly basis and reviewed by the Trustee. ESG ratings are reviewed by MGIE during quarterly monitoring processes, with a more comprehensive review performed annually - which seeks evidence of positive momentum on ESG integration. The Mercer funds overall ESG rating compared to the appropriate universe of strategies in Mercer’s global investment manager database.</w:t>
      </w:r>
    </w:p>
    <w:p w14:paraId="4DE70C3B" w14:textId="77777777" w:rsidR="000F7DA0" w:rsidRPr="0066796E" w:rsidRDefault="000F7DA0" w:rsidP="000F7DA0">
      <w:pPr>
        <w:pStyle w:val="ListParagraph"/>
        <w:spacing w:after="160" w:line="259" w:lineRule="auto"/>
        <w:rPr>
          <w:rFonts w:ascii="Mute" w:hAnsi="Mute"/>
          <w:color w:val="1F497D" w:themeColor="text2"/>
          <w:sz w:val="20"/>
        </w:rPr>
      </w:pPr>
    </w:p>
    <w:p w14:paraId="2908DA35" w14:textId="277CCE65" w:rsidR="002E63F9" w:rsidRPr="0066796E" w:rsidRDefault="006D3A7D" w:rsidP="002E63F9">
      <w:pPr>
        <w:pStyle w:val="ListParagraph"/>
        <w:numPr>
          <w:ilvl w:val="0"/>
          <w:numId w:val="24"/>
        </w:numPr>
        <w:spacing w:after="160" w:line="259" w:lineRule="auto"/>
        <w:rPr>
          <w:rFonts w:ascii="Mute" w:hAnsi="Mute"/>
          <w:color w:val="1F497D" w:themeColor="text2"/>
          <w:sz w:val="20"/>
        </w:rPr>
      </w:pPr>
      <w:r w:rsidRPr="0066796E">
        <w:rPr>
          <w:rFonts w:ascii="Mute" w:hAnsi="Mute"/>
          <w:color w:val="1F497D" w:themeColor="text2"/>
          <w:sz w:val="20"/>
        </w:rPr>
        <w:lastRenderedPageBreak/>
        <w:t>As at 31 December 202</w:t>
      </w:r>
      <w:r w:rsidR="002E63F9" w:rsidRPr="0066796E">
        <w:rPr>
          <w:rFonts w:ascii="Mute" w:hAnsi="Mute"/>
          <w:color w:val="1F497D" w:themeColor="text2"/>
          <w:sz w:val="20"/>
        </w:rPr>
        <w:t>1</w:t>
      </w:r>
      <w:r w:rsidRPr="0066796E">
        <w:rPr>
          <w:rFonts w:ascii="Mute" w:hAnsi="Mute"/>
          <w:color w:val="1F497D" w:themeColor="text2"/>
          <w:sz w:val="20"/>
        </w:rPr>
        <w:t xml:space="preserve"> the </w:t>
      </w:r>
      <w:r w:rsidR="002E63F9" w:rsidRPr="0066796E">
        <w:rPr>
          <w:rFonts w:ascii="Mute" w:hAnsi="Mute"/>
          <w:color w:val="1F497D" w:themeColor="text2"/>
          <w:sz w:val="20"/>
        </w:rPr>
        <w:t xml:space="preserve">in the Annual ESG review provided by Mercer, the Trustees noted that 88% of Mercer Funds now have an ESG rating equal to or above their asset class universe. This compares to 97% at the end of 2020 but it should be noted that the scope of the review expanded in 2021 to include all liquid multi-client Mercer Funds. For the Scheme, only the active Global High Yield Bond Fund and the Diversified Alternatives Strategies Fund were behind the broad universe. </w:t>
      </w:r>
    </w:p>
    <w:p w14:paraId="7CF99D49" w14:textId="1772384D" w:rsidR="00C52D9C" w:rsidRPr="0066796E" w:rsidRDefault="00C52D9C" w:rsidP="000F7DA0">
      <w:pPr>
        <w:spacing w:after="160" w:line="259" w:lineRule="auto"/>
        <w:ind w:firstLine="360"/>
        <w:rPr>
          <w:rFonts w:ascii="Mute" w:hAnsi="Mute"/>
          <w:b/>
          <w:color w:val="1F497D" w:themeColor="text2"/>
          <w:sz w:val="20"/>
        </w:rPr>
      </w:pPr>
      <w:r w:rsidRPr="0066796E">
        <w:rPr>
          <w:rFonts w:ascii="Mute" w:hAnsi="Mute"/>
          <w:b/>
          <w:color w:val="1F497D" w:themeColor="text2"/>
          <w:sz w:val="20"/>
        </w:rPr>
        <w:t>Update to Exclusions</w:t>
      </w:r>
    </w:p>
    <w:p w14:paraId="76F3A634" w14:textId="766410C8" w:rsidR="00C52D9C" w:rsidRPr="0066796E" w:rsidRDefault="00C52D9C" w:rsidP="00C52D9C">
      <w:pPr>
        <w:pStyle w:val="ListParagraph"/>
        <w:numPr>
          <w:ilvl w:val="0"/>
          <w:numId w:val="24"/>
        </w:numPr>
        <w:spacing w:after="240" w:line="240" w:lineRule="auto"/>
        <w:rPr>
          <w:rFonts w:ascii="Mute" w:hAnsi="Mute"/>
          <w:color w:val="1F497D" w:themeColor="text2"/>
          <w:sz w:val="20"/>
        </w:rPr>
      </w:pPr>
      <w:r w:rsidRPr="0066796E">
        <w:rPr>
          <w:rFonts w:ascii="Mute" w:hAnsi="Mute"/>
          <w:color w:val="1F497D" w:themeColor="text2"/>
          <w:sz w:val="20"/>
        </w:rPr>
        <w:t>As an overarching principle, Mercer</w:t>
      </w:r>
      <w:r w:rsidR="00836AFC" w:rsidRPr="0066796E">
        <w:rPr>
          <w:rFonts w:ascii="Mute" w:hAnsi="Mute"/>
          <w:color w:val="1F497D" w:themeColor="text2"/>
          <w:sz w:val="20"/>
        </w:rPr>
        <w:t xml:space="preserve"> and MGIE</w:t>
      </w:r>
      <w:r w:rsidR="005516BB" w:rsidRPr="0066796E">
        <w:rPr>
          <w:rFonts w:ascii="Mute" w:hAnsi="Mute"/>
          <w:color w:val="1F497D" w:themeColor="text2"/>
          <w:sz w:val="20"/>
        </w:rPr>
        <w:t>, as the Trustee</w:t>
      </w:r>
      <w:r w:rsidR="00366370" w:rsidRPr="0066796E">
        <w:rPr>
          <w:rFonts w:ascii="Mute" w:hAnsi="Mute"/>
          <w:color w:val="1F497D" w:themeColor="text2"/>
          <w:sz w:val="20"/>
        </w:rPr>
        <w:t>’s</w:t>
      </w:r>
      <w:r w:rsidR="005516BB" w:rsidRPr="0066796E">
        <w:rPr>
          <w:rFonts w:ascii="Mute" w:hAnsi="Mute"/>
          <w:color w:val="1F497D" w:themeColor="text2"/>
          <w:sz w:val="20"/>
        </w:rPr>
        <w:t xml:space="preserve"> discretionary investment manager,</w:t>
      </w:r>
      <w:r w:rsidRPr="0066796E">
        <w:rPr>
          <w:rFonts w:ascii="Mute" w:hAnsi="Mute"/>
          <w:color w:val="1F497D" w:themeColor="text2"/>
          <w:sz w:val="20"/>
        </w:rPr>
        <w:t xml:space="preserve"> prefer an</w:t>
      </w:r>
      <w:r w:rsidR="00836AFC" w:rsidRPr="0066796E">
        <w:rPr>
          <w:rFonts w:ascii="Mute" w:hAnsi="Mute"/>
          <w:color w:val="1F497D" w:themeColor="text2"/>
          <w:sz w:val="20"/>
        </w:rPr>
        <w:t xml:space="preserve"> approach of positive</w:t>
      </w:r>
      <w:r w:rsidRPr="0066796E">
        <w:rPr>
          <w:rFonts w:ascii="Mute" w:hAnsi="Mute"/>
          <w:color w:val="1F497D" w:themeColor="text2"/>
          <w:sz w:val="20"/>
        </w:rPr>
        <w:t xml:space="preserve"> engagement rather than </w:t>
      </w:r>
      <w:r w:rsidR="00836AFC" w:rsidRPr="0066796E">
        <w:rPr>
          <w:rFonts w:ascii="Mute" w:hAnsi="Mute"/>
          <w:color w:val="1F497D" w:themeColor="text2"/>
          <w:sz w:val="20"/>
        </w:rPr>
        <w:t>negative</w:t>
      </w:r>
      <w:r w:rsidRPr="0066796E">
        <w:rPr>
          <w:rFonts w:ascii="Mute" w:hAnsi="Mute"/>
          <w:color w:val="1F497D" w:themeColor="text2"/>
          <w:sz w:val="20"/>
        </w:rPr>
        <w:t xml:space="preserve"> divestment</w:t>
      </w:r>
      <w:r w:rsidR="005516BB" w:rsidRPr="0066796E">
        <w:rPr>
          <w:rFonts w:ascii="Mute" w:hAnsi="Mute"/>
          <w:color w:val="1F497D" w:themeColor="text2"/>
          <w:sz w:val="20"/>
        </w:rPr>
        <w:t>. H</w:t>
      </w:r>
      <w:r w:rsidRPr="0066796E">
        <w:rPr>
          <w:rFonts w:ascii="Mute" w:hAnsi="Mute"/>
          <w:color w:val="1F497D" w:themeColor="text2"/>
          <w:sz w:val="20"/>
        </w:rPr>
        <w:t>owever</w:t>
      </w:r>
      <w:r w:rsidR="005516BB" w:rsidRPr="0066796E">
        <w:rPr>
          <w:rFonts w:ascii="Mute" w:hAnsi="Mute"/>
          <w:color w:val="1F497D" w:themeColor="text2"/>
          <w:sz w:val="20"/>
        </w:rPr>
        <w:t xml:space="preserve"> Mercer</w:t>
      </w:r>
      <w:r w:rsidR="00836AFC" w:rsidRPr="0066796E">
        <w:rPr>
          <w:rFonts w:ascii="Mute" w:hAnsi="Mute"/>
          <w:color w:val="1F497D" w:themeColor="text2"/>
          <w:sz w:val="20"/>
        </w:rPr>
        <w:t xml:space="preserve"> and MGIE</w:t>
      </w:r>
      <w:r w:rsidR="005516BB" w:rsidRPr="0066796E">
        <w:rPr>
          <w:rFonts w:ascii="Mute" w:hAnsi="Mute"/>
          <w:color w:val="1F497D" w:themeColor="text2"/>
          <w:sz w:val="20"/>
        </w:rPr>
        <w:t xml:space="preserve"> recognises that</w:t>
      </w:r>
      <w:r w:rsidRPr="0066796E">
        <w:rPr>
          <w:rFonts w:ascii="Mute" w:hAnsi="Mute"/>
          <w:color w:val="1F497D" w:themeColor="text2"/>
          <w:sz w:val="20"/>
        </w:rPr>
        <w:t xml:space="preserve"> there are a number of cases in which </w:t>
      </w:r>
      <w:r w:rsidR="005516BB" w:rsidRPr="0066796E">
        <w:rPr>
          <w:rFonts w:ascii="Mute" w:hAnsi="Mute"/>
          <w:color w:val="1F497D" w:themeColor="text2"/>
          <w:sz w:val="20"/>
        </w:rPr>
        <w:t>investors</w:t>
      </w:r>
      <w:r w:rsidRPr="0066796E">
        <w:rPr>
          <w:rFonts w:ascii="Mute" w:hAnsi="Mute"/>
          <w:color w:val="1F497D" w:themeColor="text2"/>
          <w:sz w:val="20"/>
        </w:rPr>
        <w:t xml:space="preserve"> deem it unacceptable to profit from certain areas and therefore exclusions will be appropriate.</w:t>
      </w:r>
    </w:p>
    <w:p w14:paraId="0040248F" w14:textId="77777777" w:rsidR="00C52D9C" w:rsidRPr="0066796E" w:rsidRDefault="00C52D9C" w:rsidP="00C52D9C">
      <w:pPr>
        <w:pStyle w:val="ListParagraph"/>
        <w:spacing w:after="240" w:line="240" w:lineRule="auto"/>
        <w:rPr>
          <w:rFonts w:ascii="Mute" w:hAnsi="Mute" w:cs="Calibri"/>
          <w:color w:val="1F497D" w:themeColor="text2"/>
          <w:sz w:val="20"/>
          <w:lang w:val="en-US"/>
        </w:rPr>
      </w:pPr>
    </w:p>
    <w:p w14:paraId="38664345" w14:textId="77777777" w:rsidR="00860278" w:rsidRPr="0066796E" w:rsidRDefault="006B3254" w:rsidP="00860278">
      <w:pPr>
        <w:pStyle w:val="ListParagraph"/>
        <w:numPr>
          <w:ilvl w:val="0"/>
          <w:numId w:val="24"/>
        </w:numPr>
        <w:spacing w:after="240" w:line="240" w:lineRule="auto"/>
        <w:rPr>
          <w:rFonts w:ascii="Mute" w:hAnsi="Mute"/>
          <w:color w:val="1F497D" w:themeColor="text2"/>
          <w:sz w:val="20"/>
          <w:lang w:val="en-US"/>
        </w:rPr>
      </w:pPr>
      <w:r w:rsidRPr="0066796E">
        <w:rPr>
          <w:rFonts w:ascii="Mute" w:hAnsi="Mute"/>
          <w:color w:val="1F497D" w:themeColor="text2"/>
          <w:sz w:val="20"/>
        </w:rPr>
        <w:t>C</w:t>
      </w:r>
      <w:r w:rsidR="00C52D9C" w:rsidRPr="0066796E">
        <w:rPr>
          <w:rFonts w:ascii="Mute" w:hAnsi="Mute"/>
          <w:color w:val="1F497D" w:themeColor="text2"/>
          <w:sz w:val="20"/>
        </w:rPr>
        <w:t xml:space="preserve">ontroversial and civilian weapons, and tobacco are excluded from active equity and fixed income funds. From 1 October 2020, the controversial weapons screen </w:t>
      </w:r>
      <w:r w:rsidR="005516BB" w:rsidRPr="0066796E">
        <w:rPr>
          <w:rFonts w:ascii="Mute" w:hAnsi="Mute"/>
          <w:color w:val="1F497D" w:themeColor="text2"/>
          <w:sz w:val="20"/>
        </w:rPr>
        <w:t>was</w:t>
      </w:r>
      <w:r w:rsidR="00C52D9C" w:rsidRPr="0066796E">
        <w:rPr>
          <w:rFonts w:ascii="Mute" w:hAnsi="Mute"/>
          <w:color w:val="1F497D" w:themeColor="text2"/>
          <w:sz w:val="20"/>
        </w:rPr>
        <w:t xml:space="preserve"> extended to passive equity funds. </w:t>
      </w:r>
      <w:r w:rsidR="00860278" w:rsidRPr="0066796E">
        <w:rPr>
          <w:rFonts w:ascii="Mute" w:hAnsi="Mute"/>
          <w:color w:val="1F497D" w:themeColor="text2"/>
          <w:sz w:val="20"/>
        </w:rPr>
        <w:t xml:space="preserve">The Mercer sustainable themed funds have additional exclusions, for example covering gambling, alcohol, adult entertainment and fossil fuels. </w:t>
      </w:r>
    </w:p>
    <w:p w14:paraId="07A0F323" w14:textId="77777777" w:rsidR="00C52D9C" w:rsidRPr="0066796E" w:rsidRDefault="00C52D9C" w:rsidP="00C52D9C">
      <w:pPr>
        <w:pStyle w:val="ListParagraph"/>
        <w:spacing w:after="160" w:line="259" w:lineRule="auto"/>
        <w:rPr>
          <w:rFonts w:ascii="Mute" w:hAnsi="Mute"/>
          <w:color w:val="1F497D" w:themeColor="text2"/>
          <w:sz w:val="20"/>
        </w:rPr>
      </w:pPr>
    </w:p>
    <w:p w14:paraId="604C944D" w14:textId="55C3351D" w:rsidR="00C52D9C" w:rsidRPr="0066796E" w:rsidRDefault="00C52D9C" w:rsidP="00C52D9C">
      <w:pPr>
        <w:pStyle w:val="ListParagraph"/>
        <w:numPr>
          <w:ilvl w:val="0"/>
          <w:numId w:val="24"/>
        </w:numPr>
        <w:spacing w:after="160" w:line="259" w:lineRule="auto"/>
        <w:rPr>
          <w:rFonts w:ascii="Mute" w:hAnsi="Mute"/>
          <w:color w:val="1F497D" w:themeColor="text2"/>
          <w:sz w:val="20"/>
        </w:rPr>
      </w:pPr>
      <w:r w:rsidRPr="0066796E">
        <w:rPr>
          <w:rFonts w:ascii="Mute" w:hAnsi="Mute"/>
          <w:color w:val="1F497D" w:themeColor="text2"/>
          <w:sz w:val="20"/>
        </w:rPr>
        <w:t>In addition, Mercer and MGIE monitors for high-severity breaches of the UN Global Compact (UNGC) Principles that relate to human rights, environmental and corruption issues.</w:t>
      </w:r>
    </w:p>
    <w:p w14:paraId="26BBBE98" w14:textId="3CD97120" w:rsidR="00C52D9C" w:rsidRPr="0066796E" w:rsidRDefault="00C52D9C" w:rsidP="00C52D9C">
      <w:pPr>
        <w:pStyle w:val="ListParagraph"/>
        <w:spacing w:after="160" w:line="259" w:lineRule="auto"/>
        <w:rPr>
          <w:rFonts w:ascii="Mute" w:hAnsi="Mute"/>
          <w:color w:val="1F497D" w:themeColor="text2"/>
          <w:sz w:val="20"/>
        </w:rPr>
      </w:pPr>
    </w:p>
    <w:p w14:paraId="7CD5BF6C" w14:textId="20749331" w:rsidR="00C52D9C" w:rsidRPr="0066796E" w:rsidRDefault="00C52D9C" w:rsidP="000F7DA0">
      <w:pPr>
        <w:pStyle w:val="ListParagraph"/>
        <w:spacing w:after="160" w:line="259" w:lineRule="auto"/>
        <w:ind w:left="0" w:firstLine="360"/>
        <w:rPr>
          <w:rFonts w:ascii="Mute" w:hAnsi="Mute"/>
          <w:b/>
          <w:color w:val="1F497D" w:themeColor="text2"/>
          <w:sz w:val="20"/>
        </w:rPr>
      </w:pPr>
      <w:r w:rsidRPr="0066796E">
        <w:rPr>
          <w:rFonts w:ascii="Mute" w:hAnsi="Mute"/>
          <w:b/>
          <w:color w:val="1F497D" w:themeColor="text2"/>
          <w:sz w:val="20"/>
        </w:rPr>
        <w:t xml:space="preserve">Sustainably themed investments </w:t>
      </w:r>
    </w:p>
    <w:p w14:paraId="3D4A3D4E" w14:textId="77777777" w:rsidR="005D79EB" w:rsidRPr="0066796E" w:rsidRDefault="005D79EB" w:rsidP="005D79EB">
      <w:pPr>
        <w:pStyle w:val="ListParagraph"/>
        <w:spacing w:after="160" w:line="259" w:lineRule="auto"/>
        <w:rPr>
          <w:rFonts w:ascii="Mute" w:hAnsi="Mute"/>
          <w:color w:val="1F497D" w:themeColor="text2"/>
          <w:sz w:val="20"/>
        </w:rPr>
      </w:pPr>
    </w:p>
    <w:p w14:paraId="693A2144" w14:textId="3E764C48" w:rsidR="005040FC" w:rsidRPr="0066796E" w:rsidRDefault="005040FC" w:rsidP="005040FC">
      <w:pPr>
        <w:pStyle w:val="ListParagraph"/>
        <w:numPr>
          <w:ilvl w:val="0"/>
          <w:numId w:val="24"/>
        </w:numPr>
        <w:spacing w:after="160" w:line="259" w:lineRule="auto"/>
        <w:rPr>
          <w:rFonts w:ascii="Mute" w:hAnsi="Mute"/>
          <w:color w:val="1F497D" w:themeColor="text2"/>
          <w:sz w:val="20"/>
        </w:rPr>
      </w:pPr>
      <w:r w:rsidRPr="0066796E">
        <w:rPr>
          <w:rFonts w:ascii="Mute" w:hAnsi="Mute"/>
          <w:color w:val="1F497D" w:themeColor="text2"/>
          <w:sz w:val="20"/>
        </w:rPr>
        <w:t xml:space="preserve">An allocation to </w:t>
      </w:r>
      <w:r w:rsidR="00366370" w:rsidRPr="0066796E">
        <w:rPr>
          <w:rFonts w:ascii="Mute" w:hAnsi="Mute"/>
          <w:color w:val="1F497D" w:themeColor="text2"/>
          <w:sz w:val="20"/>
        </w:rPr>
        <w:t xml:space="preserve">the </w:t>
      </w:r>
      <w:r w:rsidRPr="0066796E">
        <w:rPr>
          <w:rFonts w:ascii="Mute" w:hAnsi="Mute"/>
          <w:color w:val="1F497D" w:themeColor="text2"/>
          <w:sz w:val="20"/>
        </w:rPr>
        <w:t>Sustainable Equities</w:t>
      </w:r>
      <w:r w:rsidR="00366370" w:rsidRPr="0066796E">
        <w:rPr>
          <w:rFonts w:ascii="Mute" w:hAnsi="Mute"/>
          <w:color w:val="1F497D" w:themeColor="text2"/>
          <w:sz w:val="20"/>
        </w:rPr>
        <w:t xml:space="preserve"> Funds</w:t>
      </w:r>
      <w:r w:rsidRPr="0066796E">
        <w:rPr>
          <w:rFonts w:ascii="Mute" w:hAnsi="Mute"/>
          <w:color w:val="1F497D" w:themeColor="text2"/>
          <w:sz w:val="20"/>
        </w:rPr>
        <w:t xml:space="preserve"> is </w:t>
      </w:r>
      <w:r w:rsidR="00836AFC" w:rsidRPr="0066796E">
        <w:rPr>
          <w:rFonts w:ascii="Mute" w:hAnsi="Mute"/>
          <w:color w:val="1F497D" w:themeColor="text2"/>
          <w:sz w:val="20"/>
        </w:rPr>
        <w:t xml:space="preserve">directly made by </w:t>
      </w:r>
      <w:r w:rsidRPr="0066796E">
        <w:rPr>
          <w:rFonts w:ascii="Mute" w:hAnsi="Mute"/>
          <w:color w:val="1F497D" w:themeColor="text2"/>
          <w:sz w:val="20"/>
        </w:rPr>
        <w:t>the Scheme, with the strategic allocation</w:t>
      </w:r>
      <w:r w:rsidR="00836AFC" w:rsidRPr="0066796E">
        <w:rPr>
          <w:rFonts w:ascii="Mute" w:hAnsi="Mute"/>
          <w:color w:val="1F497D" w:themeColor="text2"/>
          <w:sz w:val="20"/>
        </w:rPr>
        <w:t xml:space="preserve"> to Sustainable Equities within the Growth Portfolio</w:t>
      </w:r>
      <w:r w:rsidR="001644E5">
        <w:rPr>
          <w:rFonts w:ascii="Mute" w:hAnsi="Mute"/>
          <w:color w:val="1F497D" w:themeColor="text2"/>
          <w:sz w:val="20"/>
        </w:rPr>
        <w:t xml:space="preserve"> was 8.5% at 31 March 2022.</w:t>
      </w:r>
    </w:p>
    <w:p w14:paraId="6BD720CE" w14:textId="77777777" w:rsidR="005D79EB" w:rsidRPr="0066796E" w:rsidRDefault="005D79EB" w:rsidP="005D79EB">
      <w:pPr>
        <w:pStyle w:val="ListParagraph"/>
        <w:rPr>
          <w:rFonts w:ascii="Mute" w:hAnsi="Mute"/>
          <w:color w:val="1F497D" w:themeColor="text2"/>
          <w:sz w:val="20"/>
        </w:rPr>
      </w:pPr>
    </w:p>
    <w:p w14:paraId="5C6E13E1" w14:textId="6B4355A5" w:rsidR="002E63F9" w:rsidRPr="00EE3BEC" w:rsidRDefault="006D6616" w:rsidP="00EE3BEC">
      <w:pPr>
        <w:pStyle w:val="ListParagraph"/>
        <w:numPr>
          <w:ilvl w:val="0"/>
          <w:numId w:val="24"/>
        </w:numPr>
        <w:spacing w:after="160" w:line="259" w:lineRule="auto"/>
        <w:rPr>
          <w:rFonts w:ascii="Mute" w:hAnsi="Mute"/>
          <w:color w:val="1F497D" w:themeColor="text2"/>
          <w:sz w:val="20"/>
        </w:rPr>
      </w:pPr>
      <w:r w:rsidRPr="0066796E">
        <w:rPr>
          <w:rFonts w:ascii="Mute" w:hAnsi="Mute"/>
          <w:color w:val="1F497D" w:themeColor="text2"/>
          <w:sz w:val="20"/>
        </w:rPr>
        <w:t xml:space="preserve">A detailed standalone report sustainability monitoring report is produced for the </w:t>
      </w:r>
      <w:r w:rsidR="00366370" w:rsidRPr="0066796E">
        <w:rPr>
          <w:rFonts w:ascii="Mute" w:hAnsi="Mute"/>
          <w:color w:val="1F497D" w:themeColor="text2"/>
          <w:sz w:val="20"/>
        </w:rPr>
        <w:t xml:space="preserve">Active </w:t>
      </w:r>
      <w:r w:rsidRPr="0066796E">
        <w:rPr>
          <w:rFonts w:ascii="Mute" w:hAnsi="Mute"/>
          <w:color w:val="1F497D" w:themeColor="text2"/>
          <w:sz w:val="20"/>
        </w:rPr>
        <w:t xml:space="preserve">Sustainable Global Equity </w:t>
      </w:r>
      <w:r w:rsidR="00366370" w:rsidRPr="0066796E">
        <w:rPr>
          <w:rFonts w:ascii="Mute" w:hAnsi="Mute"/>
          <w:color w:val="1F497D" w:themeColor="text2"/>
          <w:sz w:val="20"/>
        </w:rPr>
        <w:t>F</w:t>
      </w:r>
      <w:r w:rsidRPr="0066796E">
        <w:rPr>
          <w:rFonts w:ascii="Mute" w:hAnsi="Mute"/>
          <w:color w:val="1F497D" w:themeColor="text2"/>
          <w:sz w:val="20"/>
        </w:rPr>
        <w:t>und on a semi</w:t>
      </w:r>
      <w:r w:rsidR="00DC4EA0" w:rsidRPr="0066796E">
        <w:rPr>
          <w:rFonts w:ascii="Mute" w:hAnsi="Mute"/>
          <w:color w:val="1F497D" w:themeColor="text2"/>
          <w:sz w:val="20"/>
        </w:rPr>
        <w:t>-</w:t>
      </w:r>
      <w:r w:rsidRPr="0066796E">
        <w:rPr>
          <w:rFonts w:ascii="Mute" w:hAnsi="Mute"/>
          <w:color w:val="1F497D" w:themeColor="text2"/>
          <w:sz w:val="20"/>
        </w:rPr>
        <w:t>annual basis</w:t>
      </w:r>
      <w:r w:rsidR="00DC4EA0" w:rsidRPr="0066796E">
        <w:rPr>
          <w:rFonts w:ascii="Mute" w:hAnsi="Mute"/>
          <w:color w:val="1F497D" w:themeColor="text2"/>
          <w:sz w:val="20"/>
        </w:rPr>
        <w:t>, including a more granular breakdown of the fund against ESG metrics, for example the UN Sustainability Development Goals,</w:t>
      </w:r>
      <w:r w:rsidRPr="0066796E">
        <w:rPr>
          <w:rFonts w:ascii="Mute" w:hAnsi="Mute"/>
          <w:color w:val="1F497D" w:themeColor="text2"/>
          <w:sz w:val="20"/>
        </w:rPr>
        <w:t xml:space="preserve"> and </w:t>
      </w:r>
      <w:r w:rsidR="00DC4EA0" w:rsidRPr="0066796E">
        <w:rPr>
          <w:rFonts w:ascii="Mute" w:hAnsi="Mute"/>
          <w:color w:val="1F497D" w:themeColor="text2"/>
          <w:sz w:val="20"/>
        </w:rPr>
        <w:t xml:space="preserve">is </w:t>
      </w:r>
      <w:r w:rsidRPr="0066796E">
        <w:rPr>
          <w:rFonts w:ascii="Mute" w:hAnsi="Mute"/>
          <w:color w:val="1F497D" w:themeColor="text2"/>
          <w:sz w:val="20"/>
        </w:rPr>
        <w:t xml:space="preserve">reviewed by the Trustee. </w:t>
      </w:r>
    </w:p>
    <w:p w14:paraId="4010ABBB" w14:textId="7CC99535" w:rsidR="006D6616" w:rsidRPr="0066796E" w:rsidRDefault="006D6616" w:rsidP="000F7DA0">
      <w:pPr>
        <w:pStyle w:val="Heading1"/>
        <w:numPr>
          <w:ilvl w:val="0"/>
          <w:numId w:val="0"/>
        </w:numPr>
        <w:ind w:right="504" w:firstLine="360"/>
        <w:rPr>
          <w:rFonts w:ascii="Mute" w:hAnsi="Mute"/>
          <w:b/>
          <w:color w:val="1F497D" w:themeColor="text2"/>
          <w:sz w:val="20"/>
        </w:rPr>
      </w:pPr>
      <w:r w:rsidRPr="0066796E">
        <w:rPr>
          <w:rFonts w:ascii="Mute" w:hAnsi="Mute"/>
          <w:b/>
          <w:color w:val="1F497D" w:themeColor="text2"/>
          <w:sz w:val="20"/>
        </w:rPr>
        <w:t>Diversity</w:t>
      </w:r>
    </w:p>
    <w:p w14:paraId="4005F2FC" w14:textId="77777777" w:rsidR="000F7DA0" w:rsidRPr="0066796E" w:rsidRDefault="000F7DA0" w:rsidP="000F7DA0">
      <w:pPr>
        <w:pStyle w:val="ListParagraph"/>
        <w:spacing w:after="160" w:line="259" w:lineRule="auto"/>
        <w:ind w:left="776"/>
        <w:rPr>
          <w:rFonts w:ascii="Mute" w:hAnsi="Mute"/>
          <w:color w:val="1F497D" w:themeColor="text2"/>
          <w:sz w:val="20"/>
        </w:rPr>
      </w:pPr>
    </w:p>
    <w:p w14:paraId="2C39CCB6" w14:textId="430F1813" w:rsidR="002E63F9" w:rsidRDefault="002E63F9" w:rsidP="002E63F9">
      <w:pPr>
        <w:pStyle w:val="ListParagraph"/>
        <w:numPr>
          <w:ilvl w:val="0"/>
          <w:numId w:val="35"/>
        </w:numPr>
        <w:spacing w:after="160" w:line="259" w:lineRule="auto"/>
        <w:rPr>
          <w:rFonts w:ascii="Mute" w:hAnsi="Mute"/>
          <w:color w:val="1F497D" w:themeColor="text2"/>
          <w:sz w:val="20"/>
        </w:rPr>
      </w:pPr>
      <w:r w:rsidRPr="0066796E">
        <w:rPr>
          <w:rFonts w:ascii="Mute" w:hAnsi="Mute"/>
          <w:color w:val="1F497D" w:themeColor="text2"/>
          <w:sz w:val="20"/>
        </w:rPr>
        <w:t>From 31 December 2020, gender diversity statistics have also been included in the quarterly reporting for the Mercer equity funds and this is being built into a broader Mercer Investment Solutions International policy on Diversity, Equity and Inclusion, sitting alongside Mercer’s established Diversity Charter.</w:t>
      </w:r>
    </w:p>
    <w:p w14:paraId="351B795A" w14:textId="77777777" w:rsidR="00C60C82" w:rsidRPr="0066796E" w:rsidRDefault="00C60C82" w:rsidP="00C60C82">
      <w:pPr>
        <w:pStyle w:val="ListParagraph"/>
        <w:spacing w:after="160" w:line="259" w:lineRule="auto"/>
        <w:ind w:left="776"/>
        <w:rPr>
          <w:rFonts w:ascii="Mute" w:hAnsi="Mute"/>
          <w:color w:val="1F497D" w:themeColor="text2"/>
          <w:sz w:val="20"/>
        </w:rPr>
      </w:pPr>
    </w:p>
    <w:p w14:paraId="6D73BAB8" w14:textId="77EC7C5F" w:rsidR="000F7DA0" w:rsidRPr="0066796E" w:rsidRDefault="002E63F9" w:rsidP="000F7DA0">
      <w:pPr>
        <w:pStyle w:val="ListParagraph"/>
        <w:numPr>
          <w:ilvl w:val="0"/>
          <w:numId w:val="35"/>
        </w:numPr>
        <w:spacing w:after="160" w:line="259" w:lineRule="auto"/>
        <w:rPr>
          <w:rFonts w:ascii="Mute" w:hAnsi="Mute"/>
          <w:color w:val="1F497D" w:themeColor="text2"/>
          <w:sz w:val="20"/>
        </w:rPr>
      </w:pPr>
      <w:r w:rsidRPr="0066796E">
        <w:rPr>
          <w:rFonts w:ascii="Mute" w:hAnsi="Mute"/>
          <w:color w:val="1F497D" w:themeColor="text2"/>
          <w:sz w:val="20"/>
        </w:rPr>
        <w:t>Mercer Investment Solutions has made a commitment to target at least 30% of all Key Decision Makers (‘KDM’s) across our Mercer funds being non-male by 2030. This commitment will apply to both the KDM within our own portfolio management team and the sub-investment manager teams. We consider broader forms of diversity in our decision-making, but the current target explicitly applies to gender diversity. As at 30 September 2021</w:t>
      </w:r>
      <w:r w:rsidR="00C60C82">
        <w:rPr>
          <w:rFonts w:ascii="Mute" w:hAnsi="Mute"/>
          <w:color w:val="1F497D" w:themeColor="text2"/>
          <w:sz w:val="20"/>
        </w:rPr>
        <w:t>,</w:t>
      </w:r>
      <w:r w:rsidRPr="0066796E">
        <w:rPr>
          <w:rFonts w:ascii="Mute" w:hAnsi="Mute"/>
          <w:color w:val="1F497D" w:themeColor="text2"/>
          <w:sz w:val="20"/>
        </w:rPr>
        <w:t xml:space="preserve"> 33% of the KDM’s within Mercer I</w:t>
      </w:r>
      <w:r w:rsidR="00FA022A">
        <w:rPr>
          <w:rFonts w:ascii="Mute" w:hAnsi="Mute"/>
          <w:color w:val="1F497D" w:themeColor="text2"/>
          <w:sz w:val="20"/>
        </w:rPr>
        <w:t xml:space="preserve">nvestment </w:t>
      </w:r>
      <w:r w:rsidRPr="0066796E">
        <w:rPr>
          <w:rFonts w:ascii="Mute" w:hAnsi="Mute"/>
          <w:color w:val="1F497D" w:themeColor="text2"/>
          <w:sz w:val="20"/>
        </w:rPr>
        <w:t>S</w:t>
      </w:r>
      <w:r w:rsidR="00FA022A">
        <w:rPr>
          <w:rFonts w:ascii="Mute" w:hAnsi="Mute"/>
          <w:color w:val="1F497D" w:themeColor="text2"/>
          <w:sz w:val="20"/>
        </w:rPr>
        <w:t>olutions</w:t>
      </w:r>
      <w:r w:rsidRPr="0066796E">
        <w:rPr>
          <w:rFonts w:ascii="Mute" w:hAnsi="Mute"/>
          <w:color w:val="1F497D" w:themeColor="text2"/>
          <w:sz w:val="20"/>
        </w:rPr>
        <w:t xml:space="preserve"> team are non-male, and our long term target is 50%. Within the Fixed Income universe the average fund has 8% non-male KDM’s and within the average EMEA Active Equity universe the average is 12%. Figures relating to Mercer Fixed Income and Active Equity Funds are currently slightly ahead at 9% and 13%.</w:t>
      </w:r>
    </w:p>
    <w:bookmarkEnd w:id="0"/>
    <w:p w14:paraId="51F1EDA1" w14:textId="7E434001" w:rsidR="00F922A8" w:rsidRPr="0066796E" w:rsidRDefault="003164DE" w:rsidP="007D3C32">
      <w:pPr>
        <w:pStyle w:val="Heading1"/>
        <w:numPr>
          <w:ilvl w:val="0"/>
          <w:numId w:val="27"/>
        </w:numPr>
        <w:ind w:right="504"/>
        <w:rPr>
          <w:rFonts w:ascii="Mute" w:hAnsi="Mute"/>
          <w:b/>
          <w:color w:val="1F497D" w:themeColor="text2"/>
          <w:sz w:val="20"/>
        </w:rPr>
      </w:pPr>
      <w:r w:rsidRPr="0066796E">
        <w:rPr>
          <w:rFonts w:ascii="Mute" w:hAnsi="Mute"/>
          <w:b/>
          <w:color w:val="1F497D" w:themeColor="text2"/>
          <w:sz w:val="20"/>
        </w:rPr>
        <w:lastRenderedPageBreak/>
        <w:t xml:space="preserve">Voting Activity </w:t>
      </w:r>
    </w:p>
    <w:p w14:paraId="74FB62AB" w14:textId="6B052125" w:rsidR="007D3C32" w:rsidRPr="0066796E" w:rsidRDefault="007D3C32" w:rsidP="007D3C32">
      <w:pPr>
        <w:rPr>
          <w:rFonts w:ascii="Mute" w:hAnsi="Mute"/>
          <w:color w:val="1F497D" w:themeColor="text2"/>
          <w:sz w:val="20"/>
        </w:rPr>
      </w:pPr>
    </w:p>
    <w:p w14:paraId="71C5A01D" w14:textId="497BF6CA" w:rsidR="007D3C32" w:rsidRPr="0066796E" w:rsidRDefault="007D3C32" w:rsidP="007D3C32">
      <w:pPr>
        <w:rPr>
          <w:rFonts w:ascii="Mute" w:hAnsi="Mute"/>
          <w:iCs/>
          <w:color w:val="1F497D" w:themeColor="text2"/>
          <w:sz w:val="20"/>
        </w:rPr>
      </w:pPr>
      <w:r w:rsidRPr="0066796E">
        <w:rPr>
          <w:rFonts w:ascii="Mute" w:hAnsi="Mute"/>
          <w:iCs/>
          <w:color w:val="1F497D" w:themeColor="text2"/>
          <w:sz w:val="20"/>
        </w:rPr>
        <w:t>The Trustee</w:t>
      </w:r>
      <w:r w:rsidR="007E35F6" w:rsidRPr="0066796E">
        <w:rPr>
          <w:rFonts w:ascii="Mute" w:hAnsi="Mute"/>
          <w:iCs/>
          <w:color w:val="1F497D" w:themeColor="text2"/>
          <w:sz w:val="20"/>
        </w:rPr>
        <w:t>’</w:t>
      </w:r>
      <w:r w:rsidRPr="0066796E">
        <w:rPr>
          <w:rFonts w:ascii="Mute" w:hAnsi="Mute"/>
          <w:iCs/>
          <w:color w:val="1F497D" w:themeColor="text2"/>
          <w:sz w:val="20"/>
        </w:rPr>
        <w:t>s investments take the form of shares or units in the Mercer Funds</w:t>
      </w:r>
      <w:r w:rsidR="00CD66CF" w:rsidRPr="0066796E">
        <w:rPr>
          <w:rFonts w:ascii="Mute" w:hAnsi="Mute"/>
          <w:iCs/>
          <w:color w:val="1F497D" w:themeColor="text2"/>
          <w:sz w:val="20"/>
        </w:rPr>
        <w:t>.  A</w:t>
      </w:r>
      <w:r w:rsidRPr="0066796E">
        <w:rPr>
          <w:rFonts w:ascii="Mute" w:hAnsi="Mute"/>
          <w:iCs/>
          <w:color w:val="1F497D" w:themeColor="text2"/>
          <w:sz w:val="20"/>
        </w:rPr>
        <w:t>ny voting rights that do apply with respect to the underlying investments attach</w:t>
      </w:r>
      <w:r w:rsidR="00860278" w:rsidRPr="0066796E">
        <w:rPr>
          <w:rFonts w:ascii="Mute" w:hAnsi="Mute"/>
          <w:iCs/>
          <w:color w:val="1F497D" w:themeColor="text2"/>
          <w:sz w:val="20"/>
        </w:rPr>
        <w:t>ed</w:t>
      </w:r>
      <w:r w:rsidRPr="0066796E">
        <w:rPr>
          <w:rFonts w:ascii="Mute" w:hAnsi="Mute"/>
          <w:iCs/>
          <w:color w:val="1F497D" w:themeColor="text2"/>
          <w:sz w:val="20"/>
        </w:rPr>
        <w:t xml:space="preserve"> to the Mercer Funds are, ultimately, delegated to the third party investment managers appointed by MGIE.  </w:t>
      </w:r>
      <w:r w:rsidR="009E2541" w:rsidRPr="0066796E">
        <w:rPr>
          <w:rFonts w:ascii="Mute" w:hAnsi="Mute"/>
          <w:iCs/>
          <w:color w:val="1F497D" w:themeColor="text2"/>
          <w:sz w:val="20"/>
        </w:rPr>
        <w:t>MGIE accepts that managers may have detailed knowledge of both the governance and the operations of the investee companies and has therefore enabled managers to vote based on their own proxy-voting execution policy</w:t>
      </w:r>
      <w:r w:rsidR="00CD66CF" w:rsidRPr="0066796E">
        <w:rPr>
          <w:rFonts w:ascii="Mute" w:hAnsi="Mute"/>
          <w:iCs/>
          <w:color w:val="1F497D" w:themeColor="text2"/>
          <w:sz w:val="20"/>
        </w:rPr>
        <w:t>, and taking account of current best practice including the UK Corporate Governance Code and the UK Stewardship Code.</w:t>
      </w:r>
      <w:r w:rsidR="007E35F6" w:rsidRPr="0066796E">
        <w:rPr>
          <w:rFonts w:ascii="Mute" w:hAnsi="Mute"/>
          <w:iCs/>
          <w:color w:val="1F497D" w:themeColor="text2"/>
        </w:rPr>
        <w:t xml:space="preserve"> </w:t>
      </w:r>
      <w:r w:rsidR="00CD66CF" w:rsidRPr="0066796E">
        <w:rPr>
          <w:rFonts w:ascii="Mute" w:hAnsi="Mute"/>
          <w:iCs/>
          <w:color w:val="1F497D" w:themeColor="text2"/>
        </w:rPr>
        <w:t>As such the Trustee do</w:t>
      </w:r>
      <w:r w:rsidR="007E35F6" w:rsidRPr="0066796E">
        <w:rPr>
          <w:rFonts w:ascii="Mute" w:hAnsi="Mute"/>
          <w:iCs/>
          <w:color w:val="1F497D" w:themeColor="text2"/>
        </w:rPr>
        <w:t>es</w:t>
      </w:r>
      <w:r w:rsidR="00CD66CF" w:rsidRPr="0066796E">
        <w:rPr>
          <w:rFonts w:ascii="Mute" w:hAnsi="Mute"/>
          <w:iCs/>
          <w:color w:val="1F497D" w:themeColor="text2"/>
        </w:rPr>
        <w:t xml:space="preserve"> not use the direct services of a proxy voter.</w:t>
      </w:r>
    </w:p>
    <w:p w14:paraId="459C62A2" w14:textId="77777777" w:rsidR="007D3C32" w:rsidRPr="0066796E" w:rsidRDefault="007D3C32" w:rsidP="007D3C32">
      <w:pPr>
        <w:rPr>
          <w:rFonts w:ascii="Mute" w:hAnsi="Mute"/>
          <w:iCs/>
          <w:color w:val="1F497D" w:themeColor="text2"/>
          <w:sz w:val="20"/>
        </w:rPr>
      </w:pPr>
    </w:p>
    <w:p w14:paraId="1B80C27C" w14:textId="77777777" w:rsidR="007D3C32" w:rsidRPr="0066796E" w:rsidRDefault="007D3C32" w:rsidP="007D3C32">
      <w:pPr>
        <w:rPr>
          <w:rFonts w:ascii="Mute" w:hAnsi="Mute"/>
          <w:iCs/>
          <w:color w:val="1F497D" w:themeColor="text2"/>
          <w:sz w:val="20"/>
        </w:rPr>
      </w:pPr>
      <w:r w:rsidRPr="0066796E">
        <w:rPr>
          <w:rFonts w:ascii="Mute" w:hAnsi="Mute"/>
          <w:iCs/>
          <w:color w:val="1F497D" w:themeColor="text2"/>
          <w:sz w:val="20"/>
        </w:rPr>
        <w:t xml:space="preserve">The MGIE </w:t>
      </w:r>
      <w:hyperlink r:id="rId15" w:history="1">
        <w:r w:rsidRPr="0066796E">
          <w:rPr>
            <w:rStyle w:val="Hyperlink"/>
            <w:rFonts w:ascii="Mute" w:hAnsi="Mute"/>
            <w:iCs/>
            <w:color w:val="1F497D" w:themeColor="text2"/>
            <w:sz w:val="20"/>
          </w:rPr>
          <w:t>Engagement Policy</w:t>
        </w:r>
      </w:hyperlink>
      <w:r w:rsidRPr="0066796E">
        <w:rPr>
          <w:rFonts w:ascii="Mute" w:hAnsi="Mute"/>
          <w:iCs/>
          <w:color w:val="1F497D" w:themeColor="text2"/>
          <w:sz w:val="20"/>
        </w:rPr>
        <w:t xml:space="preserve"> outlines this framework. </w:t>
      </w:r>
    </w:p>
    <w:p w14:paraId="35B1DC86" w14:textId="78CEB06A" w:rsidR="007D3C32" w:rsidRPr="0066796E" w:rsidRDefault="007D3C32" w:rsidP="007D3C32">
      <w:pPr>
        <w:rPr>
          <w:rFonts w:ascii="Mute" w:hAnsi="Mute"/>
          <w:iCs/>
          <w:color w:val="1F497D" w:themeColor="text2"/>
          <w:sz w:val="20"/>
        </w:rPr>
      </w:pPr>
    </w:p>
    <w:p w14:paraId="2C52D6E8" w14:textId="2CF7C9E6" w:rsidR="00CD66CF" w:rsidRPr="0066796E" w:rsidRDefault="00CD66CF" w:rsidP="007D3C32">
      <w:pPr>
        <w:rPr>
          <w:rFonts w:ascii="Mute" w:hAnsi="Mute"/>
          <w:iCs/>
          <w:color w:val="1F497D" w:themeColor="text2"/>
          <w:sz w:val="20"/>
        </w:rPr>
      </w:pPr>
      <w:r w:rsidRPr="0066796E">
        <w:rPr>
          <w:rStyle w:val="RTC-NormaltextChar"/>
          <w:rFonts w:ascii="Mute" w:hAnsi="Mute"/>
          <w:color w:val="1F497D" w:themeColor="text2"/>
          <w:sz w:val="20"/>
          <w:szCs w:val="20"/>
        </w:rPr>
        <w:t xml:space="preserve">Set out below is a summary of voting activity for the year to </w:t>
      </w:r>
      <w:r w:rsidR="009E2541" w:rsidRPr="0066796E">
        <w:rPr>
          <w:rStyle w:val="RTC-NormaltextChar"/>
          <w:rFonts w:ascii="Mute" w:hAnsi="Mute"/>
          <w:color w:val="1F497D" w:themeColor="text2"/>
          <w:sz w:val="20"/>
          <w:szCs w:val="20"/>
        </w:rPr>
        <w:t xml:space="preserve">31 </w:t>
      </w:r>
      <w:r w:rsidR="00F54703" w:rsidRPr="0066796E">
        <w:rPr>
          <w:rStyle w:val="RTC-NormaltextChar"/>
          <w:rFonts w:ascii="Mute" w:hAnsi="Mute"/>
          <w:color w:val="1F497D" w:themeColor="text2"/>
          <w:sz w:val="20"/>
          <w:szCs w:val="20"/>
        </w:rPr>
        <w:t>March 202</w:t>
      </w:r>
      <w:r w:rsidR="002E63F9" w:rsidRPr="0066796E">
        <w:rPr>
          <w:rStyle w:val="RTC-NormaltextChar"/>
          <w:rFonts w:ascii="Mute" w:hAnsi="Mute"/>
          <w:color w:val="1F497D" w:themeColor="text2"/>
          <w:sz w:val="20"/>
          <w:szCs w:val="20"/>
        </w:rPr>
        <w:t>2</w:t>
      </w:r>
      <w:r w:rsidRPr="0066796E">
        <w:rPr>
          <w:rStyle w:val="RTC-NormaltextChar"/>
          <w:rFonts w:ascii="Mute" w:hAnsi="Mute"/>
          <w:color w:val="1F497D" w:themeColor="text2"/>
          <w:sz w:val="20"/>
          <w:szCs w:val="20"/>
        </w:rPr>
        <w:t xml:space="preserve"> relating to the relevant Mercer Funds. </w:t>
      </w:r>
    </w:p>
    <w:p w14:paraId="547D199F" w14:textId="77777777" w:rsidR="000C09E8" w:rsidRPr="0066796E" w:rsidRDefault="000C09E8" w:rsidP="00FE41BD">
      <w:pPr>
        <w:pStyle w:val="ListBullet"/>
        <w:numPr>
          <w:ilvl w:val="0"/>
          <w:numId w:val="0"/>
        </w:numPr>
        <w:ind w:right="504"/>
        <w:rPr>
          <w:rFonts w:ascii="Mute" w:hAnsi="Mute"/>
          <w:color w:val="1F497D" w:themeColor="text2"/>
          <w:sz w:val="20"/>
        </w:rPr>
      </w:pPr>
    </w:p>
    <w:p w14:paraId="7215D1EB" w14:textId="089D4191" w:rsidR="009E2541" w:rsidRPr="0066796E" w:rsidRDefault="00BD4D2A" w:rsidP="003F3393">
      <w:pPr>
        <w:pStyle w:val="ListParagraph"/>
        <w:numPr>
          <w:ilvl w:val="0"/>
          <w:numId w:val="30"/>
        </w:numPr>
        <w:ind w:right="504"/>
        <w:rPr>
          <w:rFonts w:ascii="Mute" w:hAnsi="Mute"/>
          <w:color w:val="1F497D" w:themeColor="text2"/>
          <w:sz w:val="20"/>
        </w:rPr>
      </w:pPr>
      <w:r w:rsidRPr="0066796E">
        <w:rPr>
          <w:rFonts w:ascii="Mute" w:hAnsi="Mute"/>
          <w:b/>
          <w:color w:val="1F497D" w:themeColor="text2"/>
          <w:sz w:val="20"/>
        </w:rPr>
        <w:t>Voting:</w:t>
      </w:r>
      <w:r w:rsidR="000C09E8" w:rsidRPr="0066796E">
        <w:rPr>
          <w:rFonts w:ascii="Mute" w:hAnsi="Mute"/>
          <w:b/>
          <w:color w:val="1F497D" w:themeColor="text2"/>
          <w:sz w:val="20"/>
        </w:rPr>
        <w:t xml:space="preserve"> </w:t>
      </w:r>
      <w:r w:rsidR="009E2541" w:rsidRPr="0066796E">
        <w:rPr>
          <w:rFonts w:ascii="Mute" w:hAnsi="Mute"/>
          <w:bCs/>
          <w:color w:val="1F497D" w:themeColor="text2"/>
          <w:kern w:val="24"/>
          <w:sz w:val="20"/>
          <w:lang w:eastAsia="en-GB"/>
        </w:rPr>
        <w:t>As part of the monitoring of managers’ approaches to voting, MGIE assesses how active managers are voting against management and seeks to obtain the rationale behind voting activities, particularly in cases where split votes may occur</w:t>
      </w:r>
      <w:r w:rsidR="00E40C55" w:rsidRPr="0066796E">
        <w:rPr>
          <w:rFonts w:ascii="Mute" w:hAnsi="Mute"/>
          <w:bCs/>
          <w:color w:val="1F497D" w:themeColor="text2"/>
          <w:kern w:val="24"/>
          <w:sz w:val="20"/>
          <w:lang w:eastAsia="en-GB"/>
        </w:rPr>
        <w:t xml:space="preserve"> (where managers note in different ways for the same proposal)</w:t>
      </w:r>
      <w:r w:rsidR="009E2541" w:rsidRPr="0066796E">
        <w:rPr>
          <w:rFonts w:ascii="Mute" w:hAnsi="Mute"/>
          <w:bCs/>
          <w:color w:val="1F497D" w:themeColor="text2"/>
          <w:kern w:val="24"/>
          <w:sz w:val="20"/>
          <w:lang w:eastAsia="en-GB"/>
        </w:rPr>
        <w:t xml:space="preserve">. MGIE portfolio managers will use these results to inform their engagements with managers on their voting activities. </w:t>
      </w:r>
    </w:p>
    <w:p w14:paraId="3EC3B532" w14:textId="77777777" w:rsidR="009E2541" w:rsidRPr="0066796E" w:rsidRDefault="009E2541" w:rsidP="003F3393">
      <w:pPr>
        <w:pStyle w:val="ListParagraph"/>
        <w:ind w:right="504"/>
        <w:rPr>
          <w:rFonts w:ascii="Mute" w:hAnsi="Mute"/>
          <w:b/>
          <w:color w:val="1F497D" w:themeColor="text2"/>
          <w:sz w:val="20"/>
        </w:rPr>
      </w:pPr>
    </w:p>
    <w:p w14:paraId="65D331D4" w14:textId="77777777" w:rsidR="003F3393" w:rsidRPr="0066796E" w:rsidRDefault="009E2541" w:rsidP="003F3393">
      <w:pPr>
        <w:pStyle w:val="ListParagraph"/>
        <w:ind w:right="504"/>
        <w:rPr>
          <w:rFonts w:ascii="Mute" w:hAnsi="Mute"/>
          <w:color w:val="1F497D" w:themeColor="text2"/>
          <w:sz w:val="20"/>
        </w:rPr>
      </w:pPr>
      <w:r w:rsidRPr="0066796E">
        <w:rPr>
          <w:rFonts w:ascii="Mute" w:hAnsi="Mute"/>
          <w:color w:val="1F497D" w:themeColor="text2"/>
          <w:sz w:val="20"/>
        </w:rPr>
        <w:t>The s</w:t>
      </w:r>
      <w:r w:rsidR="00860278" w:rsidRPr="0066796E">
        <w:rPr>
          <w:rFonts w:ascii="Mute" w:hAnsi="Mute"/>
          <w:color w:val="1F497D" w:themeColor="text2"/>
          <w:sz w:val="20"/>
        </w:rPr>
        <w:t xml:space="preserve">tatistics </w:t>
      </w:r>
      <w:r w:rsidRPr="0066796E">
        <w:rPr>
          <w:rFonts w:ascii="Mute" w:hAnsi="Mute"/>
          <w:color w:val="1F497D" w:themeColor="text2"/>
          <w:sz w:val="20"/>
        </w:rPr>
        <w:t xml:space="preserve">set out in the table below </w:t>
      </w:r>
      <w:r w:rsidR="00860278" w:rsidRPr="0066796E">
        <w:rPr>
          <w:rFonts w:ascii="Mute" w:hAnsi="Mute"/>
          <w:color w:val="1F497D" w:themeColor="text2"/>
          <w:sz w:val="20"/>
        </w:rPr>
        <w:t>are</w:t>
      </w:r>
      <w:r w:rsidR="000C09E8" w:rsidRPr="0066796E">
        <w:rPr>
          <w:rFonts w:ascii="Mute" w:hAnsi="Mute"/>
          <w:color w:val="1F497D" w:themeColor="text2"/>
          <w:sz w:val="20"/>
        </w:rPr>
        <w:t xml:space="preserve"> drawn from the </w:t>
      </w:r>
      <w:r w:rsidR="00EA1270" w:rsidRPr="0066796E">
        <w:rPr>
          <w:rFonts w:ascii="Mute" w:hAnsi="Mute"/>
          <w:color w:val="1F497D" w:themeColor="text2"/>
          <w:sz w:val="20"/>
        </w:rPr>
        <w:t xml:space="preserve">Glass Lewis </w:t>
      </w:r>
      <w:r w:rsidR="000C09E8" w:rsidRPr="0066796E">
        <w:rPr>
          <w:rFonts w:ascii="Mute" w:hAnsi="Mute"/>
          <w:color w:val="1F497D" w:themeColor="text2"/>
          <w:sz w:val="20"/>
        </w:rPr>
        <w:t>voting system (via Mercer’s custodian</w:t>
      </w:r>
      <w:r w:rsidR="00382AEE" w:rsidRPr="0066796E">
        <w:rPr>
          <w:rFonts w:ascii="Mute" w:hAnsi="Mute"/>
          <w:color w:val="1F497D" w:themeColor="text2"/>
          <w:sz w:val="20"/>
        </w:rPr>
        <w:t xml:space="preserve">).  </w:t>
      </w:r>
      <w:r w:rsidR="00A37126" w:rsidRPr="0066796E">
        <w:rPr>
          <w:rFonts w:ascii="Mute" w:hAnsi="Mute"/>
          <w:color w:val="1F497D" w:themeColor="text2"/>
          <w:sz w:val="20"/>
        </w:rPr>
        <w:t>Typically, vot</w:t>
      </w:r>
      <w:r w:rsidR="003F3393" w:rsidRPr="0066796E">
        <w:rPr>
          <w:rFonts w:ascii="Mute" w:hAnsi="Mute"/>
          <w:color w:val="1F497D" w:themeColor="text2"/>
          <w:sz w:val="20"/>
        </w:rPr>
        <w:t>es exercised against management</w:t>
      </w:r>
      <w:r w:rsidR="00A37126" w:rsidRPr="0066796E">
        <w:rPr>
          <w:rFonts w:ascii="Mute" w:hAnsi="Mute"/>
          <w:color w:val="1F497D" w:themeColor="text2"/>
          <w:sz w:val="20"/>
        </w:rPr>
        <w:t xml:space="preserve"> can indicate a thoughtful and active approach. This is particularly visible where votes have been exercised to escalate engagement objectives.</w:t>
      </w:r>
      <w:r w:rsidR="00382AEE" w:rsidRPr="0066796E">
        <w:rPr>
          <w:rFonts w:ascii="Mute" w:hAnsi="Mute"/>
          <w:color w:val="1F497D" w:themeColor="text2"/>
          <w:sz w:val="20"/>
        </w:rPr>
        <w:t xml:space="preserve">  </w:t>
      </w:r>
      <w:r w:rsidR="00A37126" w:rsidRPr="0066796E">
        <w:rPr>
          <w:rFonts w:ascii="Mute" w:hAnsi="Mute"/>
          <w:color w:val="1F497D" w:themeColor="text2"/>
          <w:sz w:val="20"/>
        </w:rPr>
        <w:t>The expectation is for all shares to be voted</w:t>
      </w:r>
      <w:r w:rsidR="003F3393" w:rsidRPr="0066796E">
        <w:rPr>
          <w:rFonts w:ascii="Mute" w:hAnsi="Mute"/>
          <w:color w:val="1F497D" w:themeColor="text2"/>
          <w:sz w:val="20"/>
        </w:rPr>
        <w:t xml:space="preserve">. </w:t>
      </w:r>
    </w:p>
    <w:p w14:paraId="0AC674D7" w14:textId="77777777" w:rsidR="003F3393" w:rsidRPr="0066796E" w:rsidRDefault="003F3393" w:rsidP="003F3393">
      <w:pPr>
        <w:pStyle w:val="ListParagraph"/>
        <w:ind w:right="504"/>
        <w:rPr>
          <w:rFonts w:ascii="Mute" w:hAnsi="Mute"/>
          <w:color w:val="1F497D" w:themeColor="text2"/>
          <w:sz w:val="20"/>
        </w:rPr>
      </w:pPr>
    </w:p>
    <w:p w14:paraId="7C95AD0F" w14:textId="512CF649" w:rsidR="009E2541" w:rsidRPr="0066796E" w:rsidRDefault="00C2457D" w:rsidP="003F3393">
      <w:pPr>
        <w:pStyle w:val="ListParagraph"/>
        <w:ind w:right="504"/>
        <w:rPr>
          <w:rFonts w:ascii="Mute" w:hAnsi="Mute"/>
          <w:color w:val="1F497D" w:themeColor="text2"/>
          <w:sz w:val="20"/>
        </w:rPr>
      </w:pPr>
      <w:r w:rsidRPr="0066796E">
        <w:rPr>
          <w:rFonts w:ascii="Mute" w:hAnsi="Mute"/>
          <w:color w:val="1F497D" w:themeColor="text2"/>
          <w:sz w:val="20"/>
        </w:rPr>
        <w:t>“</w:t>
      </w:r>
      <w:r w:rsidR="009E2541" w:rsidRPr="0066796E">
        <w:rPr>
          <w:rFonts w:ascii="Mute" w:hAnsi="Mute"/>
          <w:color w:val="1F497D" w:themeColor="text2"/>
          <w:sz w:val="20"/>
        </w:rPr>
        <w:t>Unvoted</w:t>
      </w:r>
      <w:r w:rsidR="003F3393" w:rsidRPr="0066796E">
        <w:rPr>
          <w:rFonts w:ascii="Mute" w:hAnsi="Mute"/>
          <w:color w:val="1F497D" w:themeColor="text2"/>
          <w:sz w:val="20"/>
        </w:rPr>
        <w:t>”</w:t>
      </w:r>
      <w:r w:rsidR="00D23C39" w:rsidRPr="0066796E">
        <w:rPr>
          <w:rFonts w:ascii="Mute" w:hAnsi="Mute"/>
          <w:color w:val="1F497D" w:themeColor="text2"/>
          <w:sz w:val="20"/>
        </w:rPr>
        <w:t xml:space="preserve"> reflects instances where</w:t>
      </w:r>
      <w:r w:rsidR="009E2541" w:rsidRPr="0066796E">
        <w:rPr>
          <w:rFonts w:ascii="Mute" w:hAnsi="Mute"/>
          <w:color w:val="1F497D" w:themeColor="text2"/>
          <w:sz w:val="20"/>
        </w:rPr>
        <w:t xml:space="preserve"> managers have not actioned a</w:t>
      </w:r>
      <w:r w:rsidR="003F3393" w:rsidRPr="0066796E">
        <w:rPr>
          <w:rFonts w:ascii="Mute" w:hAnsi="Mute"/>
          <w:color w:val="1F497D" w:themeColor="text2"/>
          <w:sz w:val="20"/>
        </w:rPr>
        <w:t xml:space="preserve"> vote </w:t>
      </w:r>
      <w:r w:rsidR="009E2541" w:rsidRPr="0066796E">
        <w:rPr>
          <w:rFonts w:ascii="Mute" w:hAnsi="Mute"/>
          <w:color w:val="1F497D" w:themeColor="text2"/>
          <w:sz w:val="20"/>
        </w:rPr>
        <w:t>– these are</w:t>
      </w:r>
      <w:r w:rsidR="00D23C39" w:rsidRPr="0066796E">
        <w:rPr>
          <w:rFonts w:ascii="Mute" w:hAnsi="Mute"/>
          <w:color w:val="1F497D" w:themeColor="text2"/>
          <w:sz w:val="20"/>
        </w:rPr>
        <w:t xml:space="preserve"> specific areas where MGIE</w:t>
      </w:r>
      <w:r w:rsidR="009E2541" w:rsidRPr="0066796E">
        <w:rPr>
          <w:rFonts w:ascii="Mute" w:hAnsi="Mute"/>
          <w:color w:val="1F497D" w:themeColor="text2"/>
          <w:sz w:val="20"/>
        </w:rPr>
        <w:t xml:space="preserve"> will follow</w:t>
      </w:r>
      <w:r w:rsidR="00D23C39" w:rsidRPr="0066796E">
        <w:rPr>
          <w:rFonts w:ascii="Mute" w:hAnsi="Mute"/>
          <w:color w:val="1F497D" w:themeColor="text2"/>
          <w:sz w:val="20"/>
        </w:rPr>
        <w:t xml:space="preserve"> up </w:t>
      </w:r>
      <w:r w:rsidR="009E2541" w:rsidRPr="0066796E">
        <w:rPr>
          <w:rFonts w:ascii="Mute" w:hAnsi="Mute"/>
          <w:color w:val="1F497D" w:themeColor="text2"/>
          <w:sz w:val="20"/>
        </w:rPr>
        <w:t>to ensure managers have appropriate systems in place to ensure all votes are actioned</w:t>
      </w:r>
      <w:r w:rsidR="00D23C39" w:rsidRPr="0066796E">
        <w:rPr>
          <w:rFonts w:ascii="Mute" w:hAnsi="Mute"/>
          <w:color w:val="1F497D" w:themeColor="text2"/>
          <w:sz w:val="20"/>
        </w:rPr>
        <w:t xml:space="preserve">. </w:t>
      </w:r>
    </w:p>
    <w:p w14:paraId="44F13459" w14:textId="74720E66" w:rsidR="003F3393" w:rsidRPr="0066796E" w:rsidRDefault="003F3393" w:rsidP="003F3393">
      <w:pPr>
        <w:pStyle w:val="ListParagraph"/>
        <w:ind w:right="504"/>
        <w:rPr>
          <w:rFonts w:ascii="Mute" w:hAnsi="Mute"/>
          <w:color w:val="1F497D" w:themeColor="text2"/>
          <w:sz w:val="20"/>
        </w:rPr>
      </w:pPr>
    </w:p>
    <w:p w14:paraId="569F579D" w14:textId="07F97CC4" w:rsidR="003F3393" w:rsidRPr="0066796E" w:rsidRDefault="003F3393" w:rsidP="003F3393">
      <w:pPr>
        <w:pStyle w:val="ListParagraph"/>
        <w:ind w:right="504"/>
        <w:rPr>
          <w:rFonts w:ascii="Mute" w:hAnsi="Mute"/>
          <w:color w:val="1F497D" w:themeColor="text2"/>
          <w:sz w:val="20"/>
        </w:rPr>
      </w:pPr>
      <w:r w:rsidRPr="0066796E">
        <w:rPr>
          <w:rFonts w:ascii="Mute" w:hAnsi="Mute"/>
          <w:color w:val="1F497D" w:themeColor="text2"/>
          <w:sz w:val="20"/>
        </w:rPr>
        <w:t xml:space="preserve">“Other” reflects instances where managers have withheld votes in Power of Attorney markets, share blocking markets or where conflicts of interest may be present. </w:t>
      </w:r>
    </w:p>
    <w:p w14:paraId="093415EA" w14:textId="2E397A04" w:rsidR="004D0F38" w:rsidRPr="0066796E" w:rsidRDefault="004D0F38" w:rsidP="003F3393">
      <w:pPr>
        <w:pStyle w:val="ListParagraph"/>
        <w:ind w:right="504"/>
        <w:rPr>
          <w:rFonts w:ascii="Mute" w:hAnsi="Mute"/>
          <w:color w:val="1F497D" w:themeColor="text2"/>
          <w:sz w:val="18"/>
        </w:rPr>
      </w:pPr>
    </w:p>
    <w:p w14:paraId="6E0AB448" w14:textId="16ECF2C6" w:rsidR="004D0F38" w:rsidRPr="0066796E" w:rsidRDefault="004D0F38" w:rsidP="003F3393">
      <w:pPr>
        <w:pStyle w:val="ListParagraph"/>
        <w:ind w:right="504"/>
        <w:rPr>
          <w:rFonts w:ascii="Mute" w:hAnsi="Mute"/>
          <w:color w:val="1F497D" w:themeColor="text2"/>
          <w:sz w:val="18"/>
        </w:rPr>
      </w:pPr>
      <w:r w:rsidRPr="0066796E">
        <w:rPr>
          <w:rFonts w:ascii="Mute" w:hAnsi="Mute"/>
          <w:noProof/>
          <w:color w:val="1F497D" w:themeColor="text2"/>
          <w:sz w:val="20"/>
          <w:szCs w:val="22"/>
          <w:lang w:eastAsia="en-GB"/>
        </w:rPr>
        <w:t>“Mixed” refers to occasions were underlying managers have voted differently for the same proposal. Vote decisions of this nature are monitored and fed into the wider engagement process with manager.</w:t>
      </w:r>
    </w:p>
    <w:p w14:paraId="450B5A80" w14:textId="77777777" w:rsidR="000C09E8" w:rsidRPr="0066796E" w:rsidRDefault="000C09E8" w:rsidP="00E3050D">
      <w:pPr>
        <w:ind w:right="504"/>
        <w:rPr>
          <w:rFonts w:ascii="Mute" w:hAnsi="Mute"/>
          <w:color w:val="1F497D" w:themeColor="text2"/>
          <w:sz w:val="20"/>
        </w:rPr>
      </w:pPr>
    </w:p>
    <w:p w14:paraId="4FBE6AB5" w14:textId="5BFF1EF8" w:rsidR="00894821" w:rsidRPr="0066796E" w:rsidRDefault="00351226" w:rsidP="00E3050D">
      <w:pPr>
        <w:pStyle w:val="ListParagraph"/>
        <w:numPr>
          <w:ilvl w:val="0"/>
          <w:numId w:val="30"/>
        </w:numPr>
        <w:spacing w:line="240" w:lineRule="auto"/>
        <w:rPr>
          <w:rFonts w:ascii="Mute" w:hAnsi="Mute"/>
          <w:color w:val="1F497D" w:themeColor="text2"/>
          <w:sz w:val="20"/>
          <w:lang w:eastAsia="en-GB"/>
        </w:rPr>
      </w:pPr>
      <w:r w:rsidRPr="0066796E">
        <w:rPr>
          <w:rFonts w:ascii="Mute" w:hAnsi="Mute"/>
          <w:b/>
          <w:color w:val="1F497D" w:themeColor="text2"/>
          <w:sz w:val="20"/>
        </w:rPr>
        <w:t>Significant Votes</w:t>
      </w:r>
      <w:r w:rsidR="00BD4D2A" w:rsidRPr="0066796E">
        <w:rPr>
          <w:rFonts w:ascii="Mute" w:hAnsi="Mute"/>
          <w:b/>
          <w:color w:val="1F497D" w:themeColor="text2"/>
          <w:sz w:val="20"/>
        </w:rPr>
        <w:t>:</w:t>
      </w:r>
      <w:r w:rsidR="000C09E8" w:rsidRPr="0066796E">
        <w:rPr>
          <w:rFonts w:ascii="Mute" w:hAnsi="Mute"/>
          <w:color w:val="1F497D" w:themeColor="text2"/>
          <w:sz w:val="20"/>
        </w:rPr>
        <w:t xml:space="preserve"> </w:t>
      </w:r>
      <w:r w:rsidR="004E3D58" w:rsidRPr="0066796E">
        <w:rPr>
          <w:rFonts w:ascii="Mute" w:hAnsi="Mute"/>
          <w:color w:val="1F497D" w:themeColor="text2"/>
          <w:sz w:val="20"/>
          <w:lang w:eastAsia="en-GB"/>
        </w:rPr>
        <w:t>Mercer Investment Solutions has based its definition of significant votes on its Global Engagement Priorities, based on its Beliefs, Materiality and Impact (</w:t>
      </w:r>
      <w:r w:rsidR="00836AFC" w:rsidRPr="0066796E">
        <w:rPr>
          <w:rFonts w:ascii="Mute" w:hAnsi="Mute"/>
          <w:color w:val="1F497D" w:themeColor="text2"/>
          <w:sz w:val="20"/>
          <w:lang w:eastAsia="en-GB"/>
        </w:rPr>
        <w:t>“</w:t>
      </w:r>
      <w:r w:rsidR="004E3D58" w:rsidRPr="0066796E">
        <w:rPr>
          <w:rFonts w:ascii="Mute" w:hAnsi="Mute"/>
          <w:color w:val="1F497D" w:themeColor="text2"/>
          <w:sz w:val="20"/>
          <w:lang w:eastAsia="en-GB"/>
        </w:rPr>
        <w:t>BMI</w:t>
      </w:r>
      <w:r w:rsidR="00836AFC" w:rsidRPr="0066796E">
        <w:rPr>
          <w:rFonts w:ascii="Mute" w:hAnsi="Mute"/>
          <w:color w:val="1F497D" w:themeColor="text2"/>
          <w:sz w:val="20"/>
          <w:lang w:eastAsia="en-GB"/>
        </w:rPr>
        <w:t>”</w:t>
      </w:r>
      <w:r w:rsidR="004E3D58" w:rsidRPr="0066796E">
        <w:rPr>
          <w:rFonts w:ascii="Mute" w:hAnsi="Mute"/>
          <w:color w:val="1F497D" w:themeColor="text2"/>
          <w:sz w:val="20"/>
          <w:lang w:eastAsia="en-GB"/>
        </w:rPr>
        <w:t>) Framework. This is summarised in the Engagement Section of the MGIE Sustainab</w:t>
      </w:r>
      <w:r w:rsidR="009E2541" w:rsidRPr="0066796E">
        <w:rPr>
          <w:rFonts w:ascii="Mute" w:hAnsi="Mute"/>
          <w:color w:val="1F497D" w:themeColor="text2"/>
          <w:sz w:val="20"/>
          <w:lang w:eastAsia="en-GB"/>
        </w:rPr>
        <w:t>ility</w:t>
      </w:r>
      <w:r w:rsidR="004E3D58" w:rsidRPr="0066796E">
        <w:rPr>
          <w:rFonts w:ascii="Mute" w:hAnsi="Mute"/>
          <w:color w:val="1F497D" w:themeColor="text2"/>
          <w:sz w:val="20"/>
          <w:lang w:eastAsia="en-GB"/>
        </w:rPr>
        <w:t xml:space="preserve"> Policy. In order to capture this in the monitoring and reporting of managers voting activities, significant votes focus on proposals covering these priority areas, with specific focus placed on shareholder proposals </w:t>
      </w:r>
      <w:r w:rsidR="003703CF" w:rsidRPr="0066796E">
        <w:rPr>
          <w:rFonts w:ascii="Mute" w:hAnsi="Mute"/>
          <w:color w:val="1F497D" w:themeColor="text2"/>
          <w:sz w:val="20"/>
          <w:lang w:eastAsia="en-GB"/>
        </w:rPr>
        <w:t>(“SHP”)</w:t>
      </w:r>
      <w:r w:rsidR="00C2457D" w:rsidRPr="0066796E">
        <w:rPr>
          <w:rFonts w:ascii="Mute" w:hAnsi="Mute"/>
          <w:color w:val="1F497D" w:themeColor="text2"/>
          <w:sz w:val="20"/>
          <w:lang w:eastAsia="en-GB"/>
        </w:rPr>
        <w:t xml:space="preserve"> </w:t>
      </w:r>
      <w:r w:rsidR="004E3D58" w:rsidRPr="0066796E">
        <w:rPr>
          <w:rFonts w:ascii="Mute" w:hAnsi="Mute"/>
          <w:color w:val="1F497D" w:themeColor="text2"/>
          <w:sz w:val="20"/>
          <w:lang w:eastAsia="en-GB"/>
        </w:rPr>
        <w:t>relating to these priority areas and taking into account the size of holding across funds</w:t>
      </w:r>
      <w:r w:rsidR="00D23C39" w:rsidRPr="0066796E">
        <w:rPr>
          <w:rFonts w:ascii="Mute" w:hAnsi="Mute"/>
          <w:color w:val="1F497D" w:themeColor="text2"/>
          <w:sz w:val="20"/>
          <w:lang w:eastAsia="en-GB"/>
        </w:rPr>
        <w:t xml:space="preserve"> </w:t>
      </w:r>
    </w:p>
    <w:p w14:paraId="1B2EFE80" w14:textId="3A8905E4" w:rsidR="000F7DA0" w:rsidRPr="0066796E" w:rsidRDefault="000F7DA0" w:rsidP="000F7DA0">
      <w:pPr>
        <w:spacing w:line="240" w:lineRule="auto"/>
        <w:rPr>
          <w:rFonts w:ascii="Mute" w:hAnsi="Mute"/>
          <w:color w:val="1F497D" w:themeColor="text2"/>
          <w:sz w:val="20"/>
          <w:lang w:eastAsia="en-GB"/>
        </w:rPr>
      </w:pPr>
    </w:p>
    <w:p w14:paraId="3F13A3BC" w14:textId="77777777" w:rsidR="00485EEE" w:rsidRPr="0066796E" w:rsidRDefault="00485EEE" w:rsidP="00485EEE">
      <w:pPr>
        <w:spacing w:line="240" w:lineRule="auto"/>
        <w:rPr>
          <w:rFonts w:ascii="Mute" w:hAnsi="Mute"/>
          <w:b/>
          <w:color w:val="1F497D" w:themeColor="text2"/>
          <w:sz w:val="20"/>
        </w:rPr>
      </w:pPr>
    </w:p>
    <w:p w14:paraId="672D4CC7" w14:textId="77777777" w:rsidR="00EE3BEC" w:rsidRDefault="00EE3BEC" w:rsidP="00485EEE">
      <w:pPr>
        <w:spacing w:line="240" w:lineRule="auto"/>
        <w:rPr>
          <w:rFonts w:ascii="Mute" w:hAnsi="Mute"/>
          <w:b/>
          <w:color w:val="1F497D" w:themeColor="text2"/>
          <w:sz w:val="20"/>
        </w:rPr>
      </w:pPr>
    </w:p>
    <w:p w14:paraId="7828A21D" w14:textId="77777777" w:rsidR="00EE3BEC" w:rsidRDefault="00EE3BEC" w:rsidP="00485EEE">
      <w:pPr>
        <w:spacing w:line="240" w:lineRule="auto"/>
        <w:rPr>
          <w:rFonts w:ascii="Mute" w:hAnsi="Mute"/>
          <w:b/>
          <w:color w:val="1F497D" w:themeColor="text2"/>
          <w:sz w:val="20"/>
        </w:rPr>
      </w:pPr>
    </w:p>
    <w:p w14:paraId="37BCBD35" w14:textId="77777777" w:rsidR="00EE3BEC" w:rsidRDefault="00EE3BEC" w:rsidP="00485EEE">
      <w:pPr>
        <w:spacing w:line="240" w:lineRule="auto"/>
        <w:rPr>
          <w:rFonts w:ascii="Mute" w:hAnsi="Mute"/>
          <w:b/>
          <w:color w:val="1F497D" w:themeColor="text2"/>
          <w:sz w:val="20"/>
        </w:rPr>
      </w:pPr>
    </w:p>
    <w:p w14:paraId="384C2FF8" w14:textId="39D03AF1" w:rsidR="004D0F38" w:rsidRPr="0066796E" w:rsidRDefault="00485EEE" w:rsidP="00485EEE">
      <w:pPr>
        <w:spacing w:line="240" w:lineRule="auto"/>
        <w:rPr>
          <w:rFonts w:ascii="Mute" w:hAnsi="Mute"/>
          <w:b/>
          <w:color w:val="1F497D" w:themeColor="text2"/>
          <w:sz w:val="20"/>
        </w:rPr>
      </w:pPr>
      <w:r w:rsidRPr="0066796E">
        <w:rPr>
          <w:rFonts w:ascii="Mute" w:hAnsi="Mute"/>
          <w:b/>
          <w:color w:val="1F497D" w:themeColor="text2"/>
          <w:sz w:val="20"/>
        </w:rPr>
        <w:lastRenderedPageBreak/>
        <w:t>V</w:t>
      </w:r>
      <w:r w:rsidR="006B4701" w:rsidRPr="0066796E">
        <w:rPr>
          <w:rFonts w:ascii="Mute" w:hAnsi="Mute"/>
          <w:b/>
          <w:color w:val="1F497D" w:themeColor="text2"/>
          <w:sz w:val="20"/>
        </w:rPr>
        <w:t xml:space="preserve">oting Activity Summary </w:t>
      </w:r>
      <w:r w:rsidR="00E7010E" w:rsidRPr="0066796E">
        <w:rPr>
          <w:rFonts w:ascii="Mute" w:hAnsi="Mute"/>
          <w:b/>
          <w:color w:val="1F497D" w:themeColor="text2"/>
          <w:sz w:val="20"/>
        </w:rPr>
        <w:t>1 April</w:t>
      </w:r>
      <w:r w:rsidR="00EE3BEC">
        <w:rPr>
          <w:rFonts w:ascii="Mute" w:hAnsi="Mute"/>
          <w:b/>
          <w:color w:val="1F497D" w:themeColor="text2"/>
          <w:sz w:val="20"/>
        </w:rPr>
        <w:t xml:space="preserve"> 2021 </w:t>
      </w:r>
      <w:r w:rsidR="006B4701" w:rsidRPr="0066796E">
        <w:rPr>
          <w:rFonts w:ascii="Mute" w:hAnsi="Mute"/>
          <w:b/>
          <w:color w:val="1F497D" w:themeColor="text2"/>
          <w:sz w:val="20"/>
        </w:rPr>
        <w:t xml:space="preserve">to 31 </w:t>
      </w:r>
      <w:r w:rsidR="00E7010E" w:rsidRPr="0066796E">
        <w:rPr>
          <w:rFonts w:ascii="Mute" w:hAnsi="Mute"/>
          <w:b/>
          <w:color w:val="1F497D" w:themeColor="text2"/>
          <w:sz w:val="20"/>
        </w:rPr>
        <w:t>March 202</w:t>
      </w:r>
      <w:r w:rsidR="004D0F38" w:rsidRPr="0066796E">
        <w:rPr>
          <w:rFonts w:ascii="Mute" w:hAnsi="Mute"/>
          <w:b/>
          <w:color w:val="1F497D" w:themeColor="text2"/>
          <w:sz w:val="20"/>
        </w:rPr>
        <w:t>2</w:t>
      </w:r>
    </w:p>
    <w:p w14:paraId="69048684" w14:textId="77777777" w:rsidR="004D0F38" w:rsidRPr="0066796E" w:rsidRDefault="004D0F38" w:rsidP="00485EEE">
      <w:pPr>
        <w:spacing w:line="240" w:lineRule="auto"/>
        <w:rPr>
          <w:rFonts w:ascii="Mute" w:hAnsi="Mute"/>
          <w:b/>
          <w:color w:val="1F497D" w:themeColor="text2"/>
          <w:sz w:val="20"/>
        </w:rPr>
      </w:pPr>
    </w:p>
    <w:tbl>
      <w:tblPr>
        <w:tblW w:w="14459" w:type="dxa"/>
        <w:tblLayout w:type="fixed"/>
        <w:tblLook w:val="04A0" w:firstRow="1" w:lastRow="0" w:firstColumn="1" w:lastColumn="0" w:noHBand="0" w:noVBand="1"/>
      </w:tblPr>
      <w:tblGrid>
        <w:gridCol w:w="5000"/>
        <w:gridCol w:w="1188"/>
        <w:gridCol w:w="1077"/>
        <w:gridCol w:w="1077"/>
        <w:gridCol w:w="1077"/>
        <w:gridCol w:w="1077"/>
        <w:gridCol w:w="1077"/>
        <w:gridCol w:w="1077"/>
        <w:gridCol w:w="1809"/>
      </w:tblGrid>
      <w:tr w:rsidR="004D0F38" w:rsidRPr="0066796E" w14:paraId="198B9BF6" w14:textId="77777777" w:rsidTr="00C60C82">
        <w:trPr>
          <w:trHeight w:val="300"/>
        </w:trPr>
        <w:tc>
          <w:tcPr>
            <w:tcW w:w="5000" w:type="dxa"/>
            <w:vMerge w:val="restart"/>
            <w:tcBorders>
              <w:top w:val="nil"/>
              <w:left w:val="nil"/>
              <w:bottom w:val="nil"/>
              <w:right w:val="single" w:sz="4" w:space="0" w:color="auto"/>
            </w:tcBorders>
            <w:shd w:val="clear" w:color="000000" w:fill="009DE0"/>
            <w:noWrap/>
            <w:vAlign w:val="center"/>
            <w:hideMark/>
          </w:tcPr>
          <w:p w14:paraId="6DA965AB" w14:textId="77777777" w:rsidR="004D0F38" w:rsidRPr="0066796E" w:rsidRDefault="004D0F38" w:rsidP="0066796E">
            <w:pPr>
              <w:spacing w:line="240" w:lineRule="auto"/>
              <w:jc w:val="center"/>
              <w:rPr>
                <w:b/>
                <w:bCs/>
                <w:color w:val="FFFFFF"/>
                <w:lang w:eastAsia="en-GB"/>
              </w:rPr>
            </w:pPr>
            <w:r w:rsidRPr="0066796E">
              <w:rPr>
                <w:b/>
                <w:bCs/>
                <w:color w:val="FFFFFF"/>
                <w:lang w:eastAsia="en-GB"/>
              </w:rPr>
              <w:t>Fund Name</w:t>
            </w:r>
          </w:p>
        </w:tc>
        <w:tc>
          <w:tcPr>
            <w:tcW w:w="1188" w:type="dxa"/>
            <w:vMerge w:val="restart"/>
            <w:tcBorders>
              <w:top w:val="nil"/>
              <w:left w:val="single" w:sz="4" w:space="0" w:color="auto"/>
              <w:bottom w:val="nil"/>
              <w:right w:val="single" w:sz="4" w:space="0" w:color="auto"/>
            </w:tcBorders>
            <w:shd w:val="clear" w:color="000000" w:fill="0076A8"/>
            <w:noWrap/>
            <w:vAlign w:val="center"/>
            <w:hideMark/>
          </w:tcPr>
          <w:p w14:paraId="16AE4AA8" w14:textId="77777777" w:rsidR="004D0F38" w:rsidRPr="0066796E" w:rsidRDefault="004D0F38" w:rsidP="0066796E">
            <w:pPr>
              <w:spacing w:line="240" w:lineRule="auto"/>
              <w:jc w:val="center"/>
              <w:rPr>
                <w:b/>
                <w:bCs/>
                <w:color w:val="FFFFFF"/>
                <w:lang w:eastAsia="en-GB"/>
              </w:rPr>
            </w:pPr>
            <w:r w:rsidRPr="0066796E">
              <w:rPr>
                <w:b/>
                <w:bCs/>
                <w:color w:val="FFFFFF"/>
                <w:lang w:eastAsia="en-GB"/>
              </w:rPr>
              <w:t>Total Proposals</w:t>
            </w:r>
          </w:p>
        </w:tc>
        <w:tc>
          <w:tcPr>
            <w:tcW w:w="5385" w:type="dxa"/>
            <w:gridSpan w:val="5"/>
            <w:tcBorders>
              <w:top w:val="nil"/>
              <w:left w:val="single" w:sz="4" w:space="0" w:color="auto"/>
              <w:bottom w:val="nil"/>
              <w:right w:val="single" w:sz="4" w:space="0" w:color="auto"/>
            </w:tcBorders>
            <w:shd w:val="clear" w:color="000000" w:fill="009DE0"/>
            <w:noWrap/>
            <w:vAlign w:val="center"/>
            <w:hideMark/>
          </w:tcPr>
          <w:p w14:paraId="3772DA7C" w14:textId="77777777" w:rsidR="004D0F38" w:rsidRPr="0066796E" w:rsidRDefault="004D0F38" w:rsidP="0066796E">
            <w:pPr>
              <w:spacing w:line="240" w:lineRule="auto"/>
              <w:jc w:val="center"/>
              <w:rPr>
                <w:b/>
                <w:bCs/>
                <w:color w:val="FFFFFF"/>
                <w:lang w:eastAsia="en-GB"/>
              </w:rPr>
            </w:pPr>
            <w:r w:rsidRPr="0066796E">
              <w:rPr>
                <w:b/>
                <w:bCs/>
                <w:color w:val="FFFFFF"/>
                <w:lang w:eastAsia="en-GB"/>
              </w:rPr>
              <w:t>Vote Decision</w:t>
            </w:r>
          </w:p>
        </w:tc>
        <w:tc>
          <w:tcPr>
            <w:tcW w:w="2886" w:type="dxa"/>
            <w:gridSpan w:val="2"/>
            <w:tcBorders>
              <w:top w:val="nil"/>
              <w:left w:val="single" w:sz="4" w:space="0" w:color="auto"/>
              <w:bottom w:val="nil"/>
            </w:tcBorders>
            <w:shd w:val="clear" w:color="000000" w:fill="009DE0"/>
            <w:vAlign w:val="center"/>
          </w:tcPr>
          <w:p w14:paraId="4C349D84" w14:textId="77777777" w:rsidR="004D0F38" w:rsidRPr="0066796E" w:rsidRDefault="004D0F38" w:rsidP="0066796E">
            <w:pPr>
              <w:spacing w:line="240" w:lineRule="auto"/>
              <w:jc w:val="center"/>
              <w:rPr>
                <w:b/>
                <w:bCs/>
                <w:color w:val="FFFFFF"/>
                <w:lang w:eastAsia="en-GB"/>
              </w:rPr>
            </w:pPr>
            <w:r w:rsidRPr="0066796E">
              <w:rPr>
                <w:b/>
                <w:bCs/>
                <w:color w:val="FFFFFF"/>
                <w:lang w:eastAsia="en-GB"/>
              </w:rPr>
              <w:t>For/Against Mgmt</w:t>
            </w:r>
          </w:p>
        </w:tc>
      </w:tr>
      <w:tr w:rsidR="004D0F38" w:rsidRPr="0066796E" w14:paraId="7A6905CF" w14:textId="77777777" w:rsidTr="00C60C82">
        <w:trPr>
          <w:trHeight w:val="300"/>
        </w:trPr>
        <w:tc>
          <w:tcPr>
            <w:tcW w:w="5000" w:type="dxa"/>
            <w:vMerge/>
            <w:tcBorders>
              <w:top w:val="nil"/>
              <w:left w:val="nil"/>
              <w:bottom w:val="nil"/>
              <w:right w:val="single" w:sz="4" w:space="0" w:color="auto"/>
            </w:tcBorders>
            <w:vAlign w:val="center"/>
            <w:hideMark/>
          </w:tcPr>
          <w:p w14:paraId="1BEAD907" w14:textId="77777777" w:rsidR="004D0F38" w:rsidRPr="0066796E" w:rsidRDefault="004D0F38" w:rsidP="0066796E">
            <w:pPr>
              <w:spacing w:line="240" w:lineRule="auto"/>
              <w:rPr>
                <w:b/>
                <w:bCs/>
                <w:color w:val="FFFFFF"/>
                <w:lang w:eastAsia="en-GB"/>
              </w:rPr>
            </w:pPr>
          </w:p>
        </w:tc>
        <w:tc>
          <w:tcPr>
            <w:tcW w:w="1188" w:type="dxa"/>
            <w:vMerge/>
            <w:tcBorders>
              <w:top w:val="nil"/>
              <w:left w:val="single" w:sz="4" w:space="0" w:color="auto"/>
              <w:bottom w:val="nil"/>
              <w:right w:val="single" w:sz="4" w:space="0" w:color="auto"/>
            </w:tcBorders>
            <w:vAlign w:val="center"/>
            <w:hideMark/>
          </w:tcPr>
          <w:p w14:paraId="1B949EE9" w14:textId="77777777" w:rsidR="004D0F38" w:rsidRPr="0066796E" w:rsidRDefault="004D0F38" w:rsidP="0066796E">
            <w:pPr>
              <w:spacing w:line="240" w:lineRule="auto"/>
              <w:rPr>
                <w:b/>
                <w:bCs/>
                <w:color w:val="FFFFFF"/>
                <w:lang w:eastAsia="en-GB"/>
              </w:rPr>
            </w:pPr>
          </w:p>
        </w:tc>
        <w:tc>
          <w:tcPr>
            <w:tcW w:w="1077" w:type="dxa"/>
            <w:tcBorders>
              <w:top w:val="nil"/>
              <w:left w:val="single" w:sz="4" w:space="0" w:color="auto"/>
              <w:bottom w:val="nil"/>
              <w:right w:val="nil"/>
            </w:tcBorders>
            <w:shd w:val="clear" w:color="000000" w:fill="00547A"/>
            <w:noWrap/>
            <w:vAlign w:val="center"/>
            <w:hideMark/>
          </w:tcPr>
          <w:p w14:paraId="2FA1216B" w14:textId="77777777" w:rsidR="004D0F38" w:rsidRPr="0066796E" w:rsidRDefault="004D0F38" w:rsidP="0066796E">
            <w:pPr>
              <w:spacing w:line="240" w:lineRule="auto"/>
              <w:jc w:val="center"/>
              <w:rPr>
                <w:b/>
                <w:bCs/>
                <w:color w:val="FFFFFF"/>
                <w:lang w:eastAsia="en-GB"/>
              </w:rPr>
            </w:pPr>
            <w:r w:rsidRPr="0066796E">
              <w:rPr>
                <w:b/>
                <w:bCs/>
                <w:color w:val="FFFFFF"/>
                <w:lang w:eastAsia="en-GB"/>
              </w:rPr>
              <w:t>For</w:t>
            </w:r>
          </w:p>
        </w:tc>
        <w:tc>
          <w:tcPr>
            <w:tcW w:w="1077" w:type="dxa"/>
            <w:tcBorders>
              <w:top w:val="nil"/>
              <w:left w:val="nil"/>
              <w:bottom w:val="nil"/>
              <w:right w:val="nil"/>
            </w:tcBorders>
            <w:shd w:val="clear" w:color="000000" w:fill="00547A"/>
            <w:noWrap/>
            <w:vAlign w:val="center"/>
            <w:hideMark/>
          </w:tcPr>
          <w:p w14:paraId="538BD85E" w14:textId="77777777" w:rsidR="004D0F38" w:rsidRPr="0066796E" w:rsidRDefault="004D0F38" w:rsidP="0066796E">
            <w:pPr>
              <w:spacing w:line="240" w:lineRule="auto"/>
              <w:jc w:val="center"/>
              <w:rPr>
                <w:b/>
                <w:bCs/>
                <w:color w:val="FFFFFF"/>
                <w:lang w:eastAsia="en-GB"/>
              </w:rPr>
            </w:pPr>
            <w:r w:rsidRPr="0066796E">
              <w:rPr>
                <w:b/>
                <w:bCs/>
                <w:color w:val="FFFFFF"/>
                <w:lang w:eastAsia="en-GB"/>
              </w:rPr>
              <w:t>Against</w:t>
            </w:r>
          </w:p>
        </w:tc>
        <w:tc>
          <w:tcPr>
            <w:tcW w:w="1077" w:type="dxa"/>
            <w:tcBorders>
              <w:top w:val="nil"/>
              <w:left w:val="nil"/>
              <w:bottom w:val="nil"/>
              <w:right w:val="nil"/>
            </w:tcBorders>
            <w:shd w:val="clear" w:color="000000" w:fill="00547A"/>
            <w:noWrap/>
            <w:vAlign w:val="center"/>
            <w:hideMark/>
          </w:tcPr>
          <w:p w14:paraId="36F86777" w14:textId="77777777" w:rsidR="004D0F38" w:rsidRPr="0066796E" w:rsidRDefault="004D0F38" w:rsidP="0066796E">
            <w:pPr>
              <w:spacing w:line="240" w:lineRule="auto"/>
              <w:jc w:val="center"/>
              <w:rPr>
                <w:b/>
                <w:bCs/>
                <w:color w:val="FFFFFF"/>
                <w:lang w:eastAsia="en-GB"/>
              </w:rPr>
            </w:pPr>
            <w:r w:rsidRPr="0066796E">
              <w:rPr>
                <w:b/>
                <w:bCs/>
                <w:color w:val="FFFFFF"/>
                <w:lang w:eastAsia="en-GB"/>
              </w:rPr>
              <w:t>Abstain</w:t>
            </w:r>
          </w:p>
        </w:tc>
        <w:tc>
          <w:tcPr>
            <w:tcW w:w="1077" w:type="dxa"/>
            <w:tcBorders>
              <w:top w:val="nil"/>
              <w:left w:val="nil"/>
              <w:bottom w:val="nil"/>
              <w:right w:val="nil"/>
            </w:tcBorders>
            <w:shd w:val="clear" w:color="000000" w:fill="00547A"/>
            <w:noWrap/>
            <w:vAlign w:val="center"/>
            <w:hideMark/>
          </w:tcPr>
          <w:p w14:paraId="72A6077C" w14:textId="77777777" w:rsidR="004D0F38" w:rsidRPr="0066796E" w:rsidRDefault="004D0F38" w:rsidP="0066796E">
            <w:pPr>
              <w:spacing w:line="240" w:lineRule="auto"/>
              <w:jc w:val="center"/>
              <w:rPr>
                <w:b/>
                <w:bCs/>
                <w:color w:val="FFFFFF"/>
                <w:lang w:eastAsia="en-GB"/>
              </w:rPr>
            </w:pPr>
            <w:r w:rsidRPr="0066796E">
              <w:rPr>
                <w:b/>
                <w:bCs/>
                <w:color w:val="FFFFFF"/>
                <w:lang w:eastAsia="en-GB"/>
              </w:rPr>
              <w:t>Do not vote</w:t>
            </w:r>
          </w:p>
        </w:tc>
        <w:tc>
          <w:tcPr>
            <w:tcW w:w="1077" w:type="dxa"/>
            <w:tcBorders>
              <w:top w:val="nil"/>
              <w:left w:val="nil"/>
              <w:bottom w:val="nil"/>
              <w:right w:val="single" w:sz="4" w:space="0" w:color="auto"/>
            </w:tcBorders>
            <w:shd w:val="clear" w:color="000000" w:fill="00547A"/>
            <w:noWrap/>
            <w:vAlign w:val="center"/>
            <w:hideMark/>
          </w:tcPr>
          <w:p w14:paraId="667A1648" w14:textId="77777777" w:rsidR="004D0F38" w:rsidRPr="0066796E" w:rsidRDefault="004D0F38" w:rsidP="0066796E">
            <w:pPr>
              <w:spacing w:line="240" w:lineRule="auto"/>
              <w:jc w:val="center"/>
              <w:rPr>
                <w:b/>
                <w:bCs/>
                <w:color w:val="FFFFFF"/>
                <w:lang w:eastAsia="en-GB"/>
              </w:rPr>
            </w:pPr>
            <w:r w:rsidRPr="0066796E">
              <w:rPr>
                <w:b/>
                <w:bCs/>
                <w:color w:val="FFFFFF"/>
                <w:lang w:eastAsia="en-GB"/>
              </w:rPr>
              <w:t>Others*</w:t>
            </w:r>
          </w:p>
        </w:tc>
        <w:tc>
          <w:tcPr>
            <w:tcW w:w="1077" w:type="dxa"/>
            <w:tcBorders>
              <w:top w:val="nil"/>
              <w:left w:val="single" w:sz="4" w:space="0" w:color="auto"/>
              <w:bottom w:val="nil"/>
              <w:right w:val="nil"/>
            </w:tcBorders>
            <w:shd w:val="clear" w:color="000000" w:fill="00547A"/>
            <w:noWrap/>
            <w:vAlign w:val="center"/>
            <w:hideMark/>
          </w:tcPr>
          <w:p w14:paraId="74B5BA45" w14:textId="77777777" w:rsidR="004D0F38" w:rsidRPr="0066796E" w:rsidRDefault="004D0F38" w:rsidP="0066796E">
            <w:pPr>
              <w:spacing w:line="240" w:lineRule="auto"/>
              <w:jc w:val="center"/>
              <w:rPr>
                <w:b/>
                <w:bCs/>
                <w:color w:val="FFFFFF"/>
                <w:lang w:eastAsia="en-GB"/>
              </w:rPr>
            </w:pPr>
            <w:r w:rsidRPr="0066796E">
              <w:rPr>
                <w:b/>
                <w:bCs/>
                <w:color w:val="FFFFFF"/>
                <w:lang w:eastAsia="en-GB"/>
              </w:rPr>
              <w:t>For</w:t>
            </w:r>
          </w:p>
        </w:tc>
        <w:tc>
          <w:tcPr>
            <w:tcW w:w="1809" w:type="dxa"/>
            <w:tcBorders>
              <w:top w:val="nil"/>
              <w:left w:val="nil"/>
              <w:bottom w:val="nil"/>
              <w:right w:val="nil"/>
            </w:tcBorders>
            <w:shd w:val="clear" w:color="000000" w:fill="00547A"/>
            <w:noWrap/>
            <w:vAlign w:val="center"/>
            <w:hideMark/>
          </w:tcPr>
          <w:p w14:paraId="7AB7DB67" w14:textId="77777777" w:rsidR="004D0F38" w:rsidRPr="0066796E" w:rsidRDefault="004D0F38" w:rsidP="0066796E">
            <w:pPr>
              <w:spacing w:line="240" w:lineRule="auto"/>
              <w:jc w:val="center"/>
              <w:rPr>
                <w:b/>
                <w:bCs/>
                <w:color w:val="FFFFFF"/>
                <w:lang w:eastAsia="en-GB"/>
              </w:rPr>
            </w:pPr>
            <w:r w:rsidRPr="0066796E">
              <w:rPr>
                <w:b/>
                <w:bCs/>
                <w:color w:val="FFFFFF"/>
                <w:lang w:eastAsia="en-GB"/>
              </w:rPr>
              <w:t>Against</w:t>
            </w:r>
          </w:p>
        </w:tc>
      </w:tr>
      <w:tr w:rsidR="004D0F38" w:rsidRPr="0066796E" w14:paraId="307E2304" w14:textId="77777777" w:rsidTr="00C60C82">
        <w:trPr>
          <w:trHeight w:val="315"/>
        </w:trPr>
        <w:tc>
          <w:tcPr>
            <w:tcW w:w="5000" w:type="dxa"/>
            <w:tcBorders>
              <w:top w:val="nil"/>
              <w:left w:val="nil"/>
              <w:bottom w:val="single" w:sz="8" w:space="0" w:color="4BACC6"/>
              <w:right w:val="nil"/>
            </w:tcBorders>
            <w:shd w:val="clear" w:color="auto" w:fill="auto"/>
            <w:noWrap/>
            <w:vAlign w:val="center"/>
            <w:hideMark/>
          </w:tcPr>
          <w:p w14:paraId="48C9480A" w14:textId="77777777" w:rsidR="004D0F38" w:rsidRPr="00C60C82" w:rsidRDefault="004D0F38" w:rsidP="0066796E">
            <w:pPr>
              <w:spacing w:line="240" w:lineRule="auto"/>
              <w:rPr>
                <w:rFonts w:ascii="Mute" w:hAnsi="Mute"/>
                <w:color w:val="000000"/>
                <w:sz w:val="20"/>
                <w:lang w:eastAsia="en-GB"/>
              </w:rPr>
            </w:pPr>
            <w:r w:rsidRPr="00C60C82">
              <w:rPr>
                <w:rFonts w:ascii="Mute" w:hAnsi="Mute" w:cs="Calibri"/>
                <w:color w:val="000000"/>
                <w:sz w:val="20"/>
              </w:rPr>
              <w:t>Mercer Global Listed Infrastructure Fund</w:t>
            </w:r>
          </w:p>
        </w:tc>
        <w:tc>
          <w:tcPr>
            <w:tcW w:w="1188" w:type="dxa"/>
            <w:tcBorders>
              <w:top w:val="nil"/>
              <w:left w:val="nil"/>
              <w:bottom w:val="single" w:sz="8" w:space="0" w:color="4BACC6"/>
              <w:right w:val="nil"/>
            </w:tcBorders>
            <w:shd w:val="clear" w:color="auto" w:fill="auto"/>
            <w:noWrap/>
            <w:vAlign w:val="center"/>
            <w:hideMark/>
          </w:tcPr>
          <w:p w14:paraId="6CDD8FDB" w14:textId="77777777" w:rsidR="004D0F38" w:rsidRPr="00C60C82" w:rsidRDefault="004D0F38" w:rsidP="0066796E">
            <w:pPr>
              <w:spacing w:line="240" w:lineRule="auto"/>
              <w:jc w:val="center"/>
              <w:rPr>
                <w:rFonts w:ascii="Mute" w:hAnsi="Mute"/>
                <w:b/>
                <w:bCs/>
                <w:color w:val="000000"/>
                <w:sz w:val="20"/>
                <w:lang w:eastAsia="en-GB"/>
              </w:rPr>
            </w:pPr>
            <w:r w:rsidRPr="00C60C82">
              <w:rPr>
                <w:rFonts w:ascii="Mute" w:hAnsi="Mute" w:cs="Calibri"/>
                <w:b/>
                <w:bCs/>
                <w:color w:val="000000"/>
                <w:sz w:val="20"/>
              </w:rPr>
              <w:t>351</w:t>
            </w:r>
          </w:p>
        </w:tc>
        <w:tc>
          <w:tcPr>
            <w:tcW w:w="1077" w:type="dxa"/>
            <w:tcBorders>
              <w:top w:val="nil"/>
              <w:left w:val="nil"/>
              <w:bottom w:val="single" w:sz="8" w:space="0" w:color="4BACC6"/>
              <w:right w:val="nil"/>
            </w:tcBorders>
            <w:shd w:val="clear" w:color="auto" w:fill="auto"/>
            <w:noWrap/>
            <w:vAlign w:val="center"/>
            <w:hideMark/>
          </w:tcPr>
          <w:p w14:paraId="0AE4B7CD"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89%</w:t>
            </w:r>
          </w:p>
        </w:tc>
        <w:tc>
          <w:tcPr>
            <w:tcW w:w="1077" w:type="dxa"/>
            <w:tcBorders>
              <w:top w:val="nil"/>
              <w:left w:val="nil"/>
              <w:bottom w:val="single" w:sz="8" w:space="0" w:color="4BACC6"/>
              <w:right w:val="nil"/>
            </w:tcBorders>
            <w:shd w:val="clear" w:color="auto" w:fill="auto"/>
            <w:noWrap/>
            <w:vAlign w:val="center"/>
            <w:hideMark/>
          </w:tcPr>
          <w:p w14:paraId="036BF50A"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7%</w:t>
            </w:r>
          </w:p>
        </w:tc>
        <w:tc>
          <w:tcPr>
            <w:tcW w:w="1077" w:type="dxa"/>
            <w:tcBorders>
              <w:top w:val="nil"/>
              <w:left w:val="nil"/>
              <w:bottom w:val="single" w:sz="8" w:space="0" w:color="4BACC6"/>
              <w:right w:val="nil"/>
            </w:tcBorders>
            <w:shd w:val="clear" w:color="auto" w:fill="auto"/>
            <w:noWrap/>
            <w:vAlign w:val="center"/>
            <w:hideMark/>
          </w:tcPr>
          <w:p w14:paraId="5FA431A2"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3%</w:t>
            </w:r>
          </w:p>
        </w:tc>
        <w:tc>
          <w:tcPr>
            <w:tcW w:w="1077" w:type="dxa"/>
            <w:tcBorders>
              <w:top w:val="nil"/>
              <w:left w:val="nil"/>
              <w:bottom w:val="single" w:sz="8" w:space="0" w:color="4BACC6"/>
              <w:right w:val="nil"/>
            </w:tcBorders>
            <w:shd w:val="clear" w:color="auto" w:fill="auto"/>
            <w:noWrap/>
            <w:vAlign w:val="center"/>
            <w:hideMark/>
          </w:tcPr>
          <w:p w14:paraId="39110C1D"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0%</w:t>
            </w:r>
          </w:p>
        </w:tc>
        <w:tc>
          <w:tcPr>
            <w:tcW w:w="1077" w:type="dxa"/>
            <w:tcBorders>
              <w:top w:val="nil"/>
              <w:left w:val="nil"/>
              <w:bottom w:val="single" w:sz="8" w:space="0" w:color="4BACC6"/>
              <w:right w:val="nil"/>
            </w:tcBorders>
            <w:shd w:val="clear" w:color="auto" w:fill="auto"/>
            <w:noWrap/>
            <w:vAlign w:val="center"/>
            <w:hideMark/>
          </w:tcPr>
          <w:p w14:paraId="5E0A7C77"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1%</w:t>
            </w:r>
          </w:p>
        </w:tc>
        <w:tc>
          <w:tcPr>
            <w:tcW w:w="1077" w:type="dxa"/>
            <w:tcBorders>
              <w:top w:val="nil"/>
              <w:left w:val="nil"/>
              <w:bottom w:val="single" w:sz="8" w:space="0" w:color="4BACC6"/>
              <w:right w:val="nil"/>
            </w:tcBorders>
            <w:shd w:val="clear" w:color="auto" w:fill="auto"/>
            <w:noWrap/>
            <w:vAlign w:val="center"/>
            <w:hideMark/>
          </w:tcPr>
          <w:p w14:paraId="5355C974"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90%</w:t>
            </w:r>
          </w:p>
        </w:tc>
        <w:tc>
          <w:tcPr>
            <w:tcW w:w="1809" w:type="dxa"/>
            <w:tcBorders>
              <w:top w:val="nil"/>
              <w:left w:val="nil"/>
              <w:bottom w:val="single" w:sz="8" w:space="0" w:color="4BACC6"/>
              <w:right w:val="nil"/>
            </w:tcBorders>
            <w:shd w:val="clear" w:color="auto" w:fill="auto"/>
            <w:noWrap/>
            <w:vAlign w:val="center"/>
            <w:hideMark/>
          </w:tcPr>
          <w:p w14:paraId="1D1E5A62"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10%</w:t>
            </w:r>
          </w:p>
        </w:tc>
      </w:tr>
      <w:tr w:rsidR="004D0F38" w:rsidRPr="0066796E" w14:paraId="1566C9EC" w14:textId="77777777" w:rsidTr="00C60C82">
        <w:trPr>
          <w:trHeight w:val="315"/>
        </w:trPr>
        <w:tc>
          <w:tcPr>
            <w:tcW w:w="5000" w:type="dxa"/>
            <w:tcBorders>
              <w:top w:val="nil"/>
              <w:left w:val="nil"/>
              <w:bottom w:val="single" w:sz="8" w:space="0" w:color="4BACC6"/>
              <w:right w:val="nil"/>
            </w:tcBorders>
            <w:shd w:val="clear" w:color="auto" w:fill="auto"/>
            <w:noWrap/>
            <w:vAlign w:val="center"/>
            <w:hideMark/>
          </w:tcPr>
          <w:p w14:paraId="721219E1" w14:textId="77777777" w:rsidR="004D0F38" w:rsidRPr="00C60C82" w:rsidRDefault="004D0F38" w:rsidP="0066796E">
            <w:pPr>
              <w:spacing w:line="240" w:lineRule="auto"/>
              <w:rPr>
                <w:rFonts w:ascii="Mute" w:hAnsi="Mute"/>
                <w:color w:val="000000"/>
                <w:sz w:val="20"/>
                <w:lang w:eastAsia="en-GB"/>
              </w:rPr>
            </w:pPr>
            <w:r w:rsidRPr="00C60C82">
              <w:rPr>
                <w:rFonts w:ascii="Mute" w:hAnsi="Mute" w:cs="Calibri"/>
                <w:color w:val="000000"/>
                <w:sz w:val="20"/>
              </w:rPr>
              <w:t>Mercer Global Small Cap Equity Fund</w:t>
            </w:r>
          </w:p>
        </w:tc>
        <w:tc>
          <w:tcPr>
            <w:tcW w:w="1188" w:type="dxa"/>
            <w:tcBorders>
              <w:top w:val="nil"/>
              <w:left w:val="nil"/>
              <w:bottom w:val="single" w:sz="8" w:space="0" w:color="4BACC6"/>
              <w:right w:val="nil"/>
            </w:tcBorders>
            <w:shd w:val="clear" w:color="auto" w:fill="auto"/>
            <w:noWrap/>
            <w:vAlign w:val="center"/>
            <w:hideMark/>
          </w:tcPr>
          <w:p w14:paraId="3B77CD3E" w14:textId="77777777" w:rsidR="004D0F38" w:rsidRPr="00C60C82" w:rsidRDefault="004D0F38" w:rsidP="0066796E">
            <w:pPr>
              <w:spacing w:line="240" w:lineRule="auto"/>
              <w:jc w:val="center"/>
              <w:rPr>
                <w:rFonts w:ascii="Mute" w:hAnsi="Mute"/>
                <w:b/>
                <w:bCs/>
                <w:color w:val="000000"/>
                <w:sz w:val="20"/>
                <w:lang w:eastAsia="en-GB"/>
              </w:rPr>
            </w:pPr>
            <w:r w:rsidRPr="00C60C82">
              <w:rPr>
                <w:rFonts w:ascii="Mute" w:hAnsi="Mute" w:cs="Calibri"/>
                <w:b/>
                <w:bCs/>
                <w:color w:val="000000"/>
                <w:sz w:val="20"/>
              </w:rPr>
              <w:t>9601</w:t>
            </w:r>
          </w:p>
        </w:tc>
        <w:tc>
          <w:tcPr>
            <w:tcW w:w="1077" w:type="dxa"/>
            <w:tcBorders>
              <w:top w:val="nil"/>
              <w:left w:val="nil"/>
              <w:bottom w:val="single" w:sz="8" w:space="0" w:color="4BACC6"/>
              <w:right w:val="nil"/>
            </w:tcBorders>
            <w:shd w:val="clear" w:color="auto" w:fill="auto"/>
            <w:noWrap/>
            <w:vAlign w:val="center"/>
            <w:hideMark/>
          </w:tcPr>
          <w:p w14:paraId="7E098AC7"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92%</w:t>
            </w:r>
          </w:p>
        </w:tc>
        <w:tc>
          <w:tcPr>
            <w:tcW w:w="1077" w:type="dxa"/>
            <w:tcBorders>
              <w:top w:val="nil"/>
              <w:left w:val="nil"/>
              <w:bottom w:val="single" w:sz="8" w:space="0" w:color="4BACC6"/>
              <w:right w:val="nil"/>
            </w:tcBorders>
            <w:shd w:val="clear" w:color="auto" w:fill="auto"/>
            <w:noWrap/>
            <w:vAlign w:val="center"/>
            <w:hideMark/>
          </w:tcPr>
          <w:p w14:paraId="4F1DEA87"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6%</w:t>
            </w:r>
          </w:p>
        </w:tc>
        <w:tc>
          <w:tcPr>
            <w:tcW w:w="1077" w:type="dxa"/>
            <w:tcBorders>
              <w:top w:val="nil"/>
              <w:left w:val="nil"/>
              <w:bottom w:val="single" w:sz="8" w:space="0" w:color="4BACC6"/>
              <w:right w:val="nil"/>
            </w:tcBorders>
            <w:shd w:val="clear" w:color="auto" w:fill="auto"/>
            <w:noWrap/>
            <w:vAlign w:val="center"/>
            <w:hideMark/>
          </w:tcPr>
          <w:p w14:paraId="49BB2F29"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1%</w:t>
            </w:r>
          </w:p>
        </w:tc>
        <w:tc>
          <w:tcPr>
            <w:tcW w:w="1077" w:type="dxa"/>
            <w:tcBorders>
              <w:top w:val="nil"/>
              <w:left w:val="nil"/>
              <w:bottom w:val="single" w:sz="8" w:space="0" w:color="4BACC6"/>
              <w:right w:val="nil"/>
            </w:tcBorders>
            <w:shd w:val="clear" w:color="auto" w:fill="auto"/>
            <w:noWrap/>
            <w:vAlign w:val="center"/>
            <w:hideMark/>
          </w:tcPr>
          <w:p w14:paraId="2D0D03E0"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0%</w:t>
            </w:r>
          </w:p>
        </w:tc>
        <w:tc>
          <w:tcPr>
            <w:tcW w:w="1077" w:type="dxa"/>
            <w:tcBorders>
              <w:top w:val="nil"/>
              <w:left w:val="nil"/>
              <w:bottom w:val="single" w:sz="8" w:space="0" w:color="4BACC6"/>
              <w:right w:val="nil"/>
            </w:tcBorders>
            <w:shd w:val="clear" w:color="auto" w:fill="auto"/>
            <w:noWrap/>
            <w:vAlign w:val="center"/>
            <w:hideMark/>
          </w:tcPr>
          <w:p w14:paraId="675A62E4"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2%</w:t>
            </w:r>
          </w:p>
        </w:tc>
        <w:tc>
          <w:tcPr>
            <w:tcW w:w="1077" w:type="dxa"/>
            <w:tcBorders>
              <w:top w:val="nil"/>
              <w:left w:val="nil"/>
              <w:bottom w:val="single" w:sz="8" w:space="0" w:color="4BACC6"/>
              <w:right w:val="nil"/>
            </w:tcBorders>
            <w:shd w:val="clear" w:color="auto" w:fill="auto"/>
            <w:noWrap/>
            <w:vAlign w:val="center"/>
            <w:hideMark/>
          </w:tcPr>
          <w:p w14:paraId="1190BFB7"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92%</w:t>
            </w:r>
          </w:p>
        </w:tc>
        <w:tc>
          <w:tcPr>
            <w:tcW w:w="1809" w:type="dxa"/>
            <w:tcBorders>
              <w:top w:val="nil"/>
              <w:left w:val="nil"/>
              <w:bottom w:val="single" w:sz="8" w:space="0" w:color="4BACC6"/>
              <w:right w:val="nil"/>
            </w:tcBorders>
            <w:shd w:val="clear" w:color="auto" w:fill="auto"/>
            <w:noWrap/>
            <w:vAlign w:val="center"/>
            <w:hideMark/>
          </w:tcPr>
          <w:p w14:paraId="79177EC2"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8%</w:t>
            </w:r>
          </w:p>
        </w:tc>
      </w:tr>
      <w:tr w:rsidR="004D0F38" w:rsidRPr="0066796E" w14:paraId="711D291B" w14:textId="77777777" w:rsidTr="00C60C82">
        <w:trPr>
          <w:trHeight w:val="315"/>
        </w:trPr>
        <w:tc>
          <w:tcPr>
            <w:tcW w:w="5000" w:type="dxa"/>
            <w:tcBorders>
              <w:top w:val="single" w:sz="4" w:space="0" w:color="4F81BD" w:themeColor="accent1"/>
              <w:left w:val="nil"/>
              <w:bottom w:val="single" w:sz="4" w:space="0" w:color="4F81BD" w:themeColor="accent1"/>
              <w:right w:val="nil"/>
            </w:tcBorders>
            <w:shd w:val="clear" w:color="auto" w:fill="auto"/>
            <w:noWrap/>
            <w:vAlign w:val="center"/>
            <w:hideMark/>
          </w:tcPr>
          <w:p w14:paraId="41C33F29" w14:textId="77777777" w:rsidR="004D0F38" w:rsidRPr="00C60C82" w:rsidRDefault="004D0F38" w:rsidP="0066796E">
            <w:pPr>
              <w:spacing w:line="240" w:lineRule="auto"/>
              <w:rPr>
                <w:rFonts w:ascii="Mute" w:hAnsi="Mute"/>
                <w:color w:val="000000"/>
                <w:sz w:val="20"/>
                <w:lang w:eastAsia="en-GB"/>
              </w:rPr>
            </w:pPr>
            <w:r w:rsidRPr="00C60C82">
              <w:rPr>
                <w:rFonts w:ascii="Mute" w:hAnsi="Mute" w:cs="Calibri"/>
                <w:color w:val="000000"/>
                <w:sz w:val="20"/>
              </w:rPr>
              <w:t>Mercer Low Volatility Equity Fund</w:t>
            </w:r>
          </w:p>
        </w:tc>
        <w:tc>
          <w:tcPr>
            <w:tcW w:w="1188" w:type="dxa"/>
            <w:tcBorders>
              <w:top w:val="nil"/>
              <w:left w:val="nil"/>
              <w:bottom w:val="single" w:sz="4" w:space="0" w:color="4F81BD" w:themeColor="accent1"/>
              <w:right w:val="nil"/>
            </w:tcBorders>
            <w:shd w:val="clear" w:color="auto" w:fill="auto"/>
            <w:noWrap/>
            <w:vAlign w:val="center"/>
            <w:hideMark/>
          </w:tcPr>
          <w:p w14:paraId="7A5AF19D" w14:textId="77777777" w:rsidR="004D0F38" w:rsidRPr="00C60C82" w:rsidRDefault="004D0F38" w:rsidP="0066796E">
            <w:pPr>
              <w:spacing w:line="240" w:lineRule="auto"/>
              <w:jc w:val="center"/>
              <w:rPr>
                <w:rFonts w:ascii="Mute" w:hAnsi="Mute"/>
                <w:b/>
                <w:bCs/>
                <w:color w:val="000000"/>
                <w:sz w:val="20"/>
                <w:lang w:eastAsia="en-GB"/>
              </w:rPr>
            </w:pPr>
            <w:r w:rsidRPr="00C60C82">
              <w:rPr>
                <w:rFonts w:ascii="Mute" w:hAnsi="Mute" w:cs="Calibri"/>
                <w:b/>
                <w:bCs/>
                <w:color w:val="000000"/>
                <w:sz w:val="20"/>
              </w:rPr>
              <w:t>7874</w:t>
            </w:r>
          </w:p>
        </w:tc>
        <w:tc>
          <w:tcPr>
            <w:tcW w:w="1077" w:type="dxa"/>
            <w:tcBorders>
              <w:top w:val="nil"/>
              <w:left w:val="nil"/>
              <w:bottom w:val="single" w:sz="8" w:space="0" w:color="4BACC6"/>
              <w:right w:val="nil"/>
            </w:tcBorders>
            <w:shd w:val="clear" w:color="auto" w:fill="auto"/>
            <w:noWrap/>
            <w:vAlign w:val="center"/>
            <w:hideMark/>
          </w:tcPr>
          <w:p w14:paraId="0DF41F8E"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93%</w:t>
            </w:r>
          </w:p>
        </w:tc>
        <w:tc>
          <w:tcPr>
            <w:tcW w:w="1077" w:type="dxa"/>
            <w:tcBorders>
              <w:top w:val="nil"/>
              <w:left w:val="nil"/>
              <w:bottom w:val="single" w:sz="8" w:space="0" w:color="4BACC6"/>
              <w:right w:val="nil"/>
            </w:tcBorders>
            <w:shd w:val="clear" w:color="auto" w:fill="auto"/>
            <w:noWrap/>
            <w:vAlign w:val="center"/>
            <w:hideMark/>
          </w:tcPr>
          <w:p w14:paraId="696B4674"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5%</w:t>
            </w:r>
          </w:p>
        </w:tc>
        <w:tc>
          <w:tcPr>
            <w:tcW w:w="1077" w:type="dxa"/>
            <w:tcBorders>
              <w:top w:val="nil"/>
              <w:left w:val="nil"/>
              <w:bottom w:val="single" w:sz="8" w:space="0" w:color="4BACC6"/>
              <w:right w:val="nil"/>
            </w:tcBorders>
            <w:shd w:val="clear" w:color="auto" w:fill="auto"/>
            <w:noWrap/>
            <w:vAlign w:val="center"/>
            <w:hideMark/>
          </w:tcPr>
          <w:p w14:paraId="537AAF00"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0%</w:t>
            </w:r>
          </w:p>
        </w:tc>
        <w:tc>
          <w:tcPr>
            <w:tcW w:w="1077" w:type="dxa"/>
            <w:tcBorders>
              <w:top w:val="nil"/>
              <w:left w:val="nil"/>
              <w:bottom w:val="single" w:sz="8" w:space="0" w:color="4BACC6"/>
              <w:right w:val="nil"/>
            </w:tcBorders>
            <w:shd w:val="clear" w:color="auto" w:fill="auto"/>
            <w:noWrap/>
            <w:vAlign w:val="center"/>
            <w:hideMark/>
          </w:tcPr>
          <w:p w14:paraId="24986B31"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0%</w:t>
            </w:r>
          </w:p>
        </w:tc>
        <w:tc>
          <w:tcPr>
            <w:tcW w:w="1077" w:type="dxa"/>
            <w:tcBorders>
              <w:top w:val="nil"/>
              <w:left w:val="nil"/>
              <w:bottom w:val="single" w:sz="8" w:space="0" w:color="4BACC6"/>
              <w:right w:val="nil"/>
            </w:tcBorders>
            <w:shd w:val="clear" w:color="auto" w:fill="auto"/>
            <w:noWrap/>
            <w:vAlign w:val="center"/>
            <w:hideMark/>
          </w:tcPr>
          <w:p w14:paraId="065508A0"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1%</w:t>
            </w:r>
          </w:p>
        </w:tc>
        <w:tc>
          <w:tcPr>
            <w:tcW w:w="1077" w:type="dxa"/>
            <w:tcBorders>
              <w:top w:val="nil"/>
              <w:left w:val="nil"/>
              <w:bottom w:val="single" w:sz="8" w:space="0" w:color="4BACC6"/>
              <w:right w:val="nil"/>
            </w:tcBorders>
            <w:shd w:val="clear" w:color="auto" w:fill="auto"/>
            <w:noWrap/>
            <w:vAlign w:val="center"/>
            <w:hideMark/>
          </w:tcPr>
          <w:p w14:paraId="0738A317"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93%</w:t>
            </w:r>
          </w:p>
        </w:tc>
        <w:tc>
          <w:tcPr>
            <w:tcW w:w="1809" w:type="dxa"/>
            <w:tcBorders>
              <w:top w:val="nil"/>
              <w:left w:val="nil"/>
              <w:bottom w:val="single" w:sz="8" w:space="0" w:color="4BACC6"/>
              <w:right w:val="nil"/>
            </w:tcBorders>
            <w:shd w:val="clear" w:color="auto" w:fill="auto"/>
            <w:noWrap/>
            <w:vAlign w:val="center"/>
            <w:hideMark/>
          </w:tcPr>
          <w:p w14:paraId="22D56F57"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7%</w:t>
            </w:r>
          </w:p>
        </w:tc>
      </w:tr>
      <w:tr w:rsidR="004D0F38" w:rsidRPr="0066796E" w14:paraId="0E067E76" w14:textId="77777777" w:rsidTr="00C60C82">
        <w:trPr>
          <w:trHeight w:val="315"/>
        </w:trPr>
        <w:tc>
          <w:tcPr>
            <w:tcW w:w="5000" w:type="dxa"/>
            <w:tcBorders>
              <w:top w:val="single" w:sz="4" w:space="0" w:color="4F81BD" w:themeColor="accent1"/>
              <w:left w:val="nil"/>
              <w:bottom w:val="single" w:sz="8" w:space="0" w:color="4BACC6"/>
              <w:right w:val="nil"/>
            </w:tcBorders>
            <w:shd w:val="clear" w:color="auto" w:fill="auto"/>
            <w:noWrap/>
            <w:vAlign w:val="center"/>
            <w:hideMark/>
          </w:tcPr>
          <w:p w14:paraId="06BEDC1C" w14:textId="77777777" w:rsidR="004D0F38" w:rsidRPr="00C60C82" w:rsidRDefault="004D0F38" w:rsidP="0066796E">
            <w:pPr>
              <w:spacing w:line="240" w:lineRule="auto"/>
              <w:rPr>
                <w:rFonts w:ascii="Mute" w:hAnsi="Mute"/>
                <w:color w:val="000000"/>
                <w:sz w:val="20"/>
                <w:lang w:eastAsia="en-GB"/>
              </w:rPr>
            </w:pPr>
            <w:r w:rsidRPr="00C60C82">
              <w:rPr>
                <w:rFonts w:ascii="Mute" w:hAnsi="Mute" w:cs="Calibri"/>
                <w:color w:val="000000"/>
                <w:sz w:val="20"/>
              </w:rPr>
              <w:t>Mercer Multi-Asset Credit Fund</w:t>
            </w:r>
          </w:p>
        </w:tc>
        <w:tc>
          <w:tcPr>
            <w:tcW w:w="1188" w:type="dxa"/>
            <w:tcBorders>
              <w:top w:val="single" w:sz="4" w:space="0" w:color="4F81BD" w:themeColor="accent1"/>
              <w:left w:val="nil"/>
              <w:bottom w:val="single" w:sz="8" w:space="0" w:color="4BACC6"/>
              <w:right w:val="nil"/>
            </w:tcBorders>
            <w:shd w:val="clear" w:color="auto" w:fill="auto"/>
            <w:noWrap/>
            <w:vAlign w:val="center"/>
            <w:hideMark/>
          </w:tcPr>
          <w:p w14:paraId="630ED5D7" w14:textId="77777777" w:rsidR="004D0F38" w:rsidRPr="00C60C82" w:rsidRDefault="004D0F38" w:rsidP="0066796E">
            <w:pPr>
              <w:spacing w:line="240" w:lineRule="auto"/>
              <w:jc w:val="center"/>
              <w:rPr>
                <w:rFonts w:ascii="Mute" w:hAnsi="Mute"/>
                <w:b/>
                <w:bCs/>
                <w:color w:val="000000"/>
                <w:sz w:val="20"/>
                <w:lang w:eastAsia="en-GB"/>
              </w:rPr>
            </w:pPr>
            <w:r w:rsidRPr="00C60C82">
              <w:rPr>
                <w:rFonts w:ascii="Mute" w:hAnsi="Mute" w:cs="Calibri"/>
                <w:b/>
                <w:bCs/>
                <w:color w:val="000000"/>
                <w:sz w:val="20"/>
              </w:rPr>
              <w:t>27</w:t>
            </w:r>
          </w:p>
        </w:tc>
        <w:tc>
          <w:tcPr>
            <w:tcW w:w="1077" w:type="dxa"/>
            <w:tcBorders>
              <w:top w:val="nil"/>
              <w:left w:val="nil"/>
              <w:bottom w:val="single" w:sz="8" w:space="0" w:color="4BACC6"/>
              <w:right w:val="nil"/>
            </w:tcBorders>
            <w:shd w:val="clear" w:color="auto" w:fill="auto"/>
            <w:noWrap/>
            <w:vAlign w:val="center"/>
            <w:hideMark/>
          </w:tcPr>
          <w:p w14:paraId="4B2E97BC"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67%</w:t>
            </w:r>
          </w:p>
        </w:tc>
        <w:tc>
          <w:tcPr>
            <w:tcW w:w="1077" w:type="dxa"/>
            <w:tcBorders>
              <w:top w:val="nil"/>
              <w:left w:val="nil"/>
              <w:bottom w:val="single" w:sz="8" w:space="0" w:color="4BACC6"/>
              <w:right w:val="nil"/>
            </w:tcBorders>
            <w:shd w:val="clear" w:color="auto" w:fill="auto"/>
            <w:noWrap/>
            <w:vAlign w:val="center"/>
            <w:hideMark/>
          </w:tcPr>
          <w:p w14:paraId="557FE016"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0%</w:t>
            </w:r>
          </w:p>
        </w:tc>
        <w:tc>
          <w:tcPr>
            <w:tcW w:w="1077" w:type="dxa"/>
            <w:tcBorders>
              <w:top w:val="nil"/>
              <w:left w:val="nil"/>
              <w:bottom w:val="single" w:sz="8" w:space="0" w:color="4BACC6"/>
              <w:right w:val="nil"/>
            </w:tcBorders>
            <w:shd w:val="clear" w:color="auto" w:fill="auto"/>
            <w:noWrap/>
            <w:vAlign w:val="center"/>
            <w:hideMark/>
          </w:tcPr>
          <w:p w14:paraId="25C48F33"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33%</w:t>
            </w:r>
          </w:p>
        </w:tc>
        <w:tc>
          <w:tcPr>
            <w:tcW w:w="1077" w:type="dxa"/>
            <w:tcBorders>
              <w:top w:val="nil"/>
              <w:left w:val="nil"/>
              <w:bottom w:val="single" w:sz="8" w:space="0" w:color="4BACC6"/>
              <w:right w:val="nil"/>
            </w:tcBorders>
            <w:shd w:val="clear" w:color="auto" w:fill="auto"/>
            <w:noWrap/>
            <w:vAlign w:val="center"/>
            <w:hideMark/>
          </w:tcPr>
          <w:p w14:paraId="00B65DE4"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0%</w:t>
            </w:r>
          </w:p>
        </w:tc>
        <w:tc>
          <w:tcPr>
            <w:tcW w:w="1077" w:type="dxa"/>
            <w:tcBorders>
              <w:top w:val="nil"/>
              <w:left w:val="nil"/>
              <w:bottom w:val="single" w:sz="8" w:space="0" w:color="4BACC6"/>
              <w:right w:val="nil"/>
            </w:tcBorders>
            <w:shd w:val="clear" w:color="auto" w:fill="auto"/>
            <w:noWrap/>
            <w:vAlign w:val="center"/>
            <w:hideMark/>
          </w:tcPr>
          <w:p w14:paraId="6F3C9671"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0%</w:t>
            </w:r>
          </w:p>
        </w:tc>
        <w:tc>
          <w:tcPr>
            <w:tcW w:w="1077" w:type="dxa"/>
            <w:tcBorders>
              <w:top w:val="nil"/>
              <w:left w:val="nil"/>
              <w:bottom w:val="single" w:sz="8" w:space="0" w:color="4BACC6"/>
              <w:right w:val="nil"/>
            </w:tcBorders>
            <w:shd w:val="clear" w:color="auto" w:fill="auto"/>
            <w:noWrap/>
            <w:vAlign w:val="center"/>
            <w:hideMark/>
          </w:tcPr>
          <w:p w14:paraId="02646A1D"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62%</w:t>
            </w:r>
          </w:p>
        </w:tc>
        <w:tc>
          <w:tcPr>
            <w:tcW w:w="1809" w:type="dxa"/>
            <w:tcBorders>
              <w:top w:val="nil"/>
              <w:left w:val="nil"/>
              <w:bottom w:val="single" w:sz="8" w:space="0" w:color="4BACC6"/>
              <w:right w:val="nil"/>
            </w:tcBorders>
            <w:shd w:val="clear" w:color="auto" w:fill="auto"/>
            <w:noWrap/>
            <w:vAlign w:val="center"/>
            <w:hideMark/>
          </w:tcPr>
          <w:p w14:paraId="61477954"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38%</w:t>
            </w:r>
          </w:p>
        </w:tc>
      </w:tr>
      <w:tr w:rsidR="004D0F38" w:rsidRPr="0066796E" w14:paraId="6AC8C3AA" w14:textId="77777777" w:rsidTr="00C60C82">
        <w:trPr>
          <w:trHeight w:val="315"/>
        </w:trPr>
        <w:tc>
          <w:tcPr>
            <w:tcW w:w="5000" w:type="dxa"/>
            <w:tcBorders>
              <w:top w:val="nil"/>
              <w:left w:val="nil"/>
              <w:bottom w:val="single" w:sz="8" w:space="0" w:color="4BACC6"/>
              <w:right w:val="nil"/>
            </w:tcBorders>
            <w:shd w:val="clear" w:color="auto" w:fill="auto"/>
            <w:noWrap/>
            <w:vAlign w:val="center"/>
            <w:hideMark/>
          </w:tcPr>
          <w:p w14:paraId="20A85264" w14:textId="77777777" w:rsidR="004D0F38" w:rsidRPr="00C60C82" w:rsidRDefault="004D0F38" w:rsidP="0066796E">
            <w:pPr>
              <w:spacing w:line="240" w:lineRule="auto"/>
              <w:rPr>
                <w:rFonts w:ascii="Mute" w:hAnsi="Mute"/>
                <w:color w:val="000000"/>
                <w:sz w:val="20"/>
                <w:lang w:eastAsia="en-GB"/>
              </w:rPr>
            </w:pPr>
            <w:r w:rsidRPr="00C60C82">
              <w:rPr>
                <w:rFonts w:ascii="Mute" w:hAnsi="Mute" w:cs="Calibri"/>
                <w:color w:val="000000"/>
                <w:sz w:val="20"/>
              </w:rPr>
              <w:t>Mercer Passive Global REITS UCITS CCF</w:t>
            </w:r>
          </w:p>
        </w:tc>
        <w:tc>
          <w:tcPr>
            <w:tcW w:w="1188" w:type="dxa"/>
            <w:tcBorders>
              <w:top w:val="nil"/>
              <w:left w:val="nil"/>
              <w:bottom w:val="single" w:sz="8" w:space="0" w:color="4BACC6"/>
              <w:right w:val="nil"/>
            </w:tcBorders>
            <w:shd w:val="clear" w:color="auto" w:fill="auto"/>
            <w:noWrap/>
            <w:vAlign w:val="center"/>
            <w:hideMark/>
          </w:tcPr>
          <w:p w14:paraId="746D8F28" w14:textId="77777777" w:rsidR="004D0F38" w:rsidRPr="00C60C82" w:rsidRDefault="004D0F38" w:rsidP="0066796E">
            <w:pPr>
              <w:spacing w:line="240" w:lineRule="auto"/>
              <w:jc w:val="center"/>
              <w:rPr>
                <w:rFonts w:ascii="Mute" w:hAnsi="Mute"/>
                <w:b/>
                <w:bCs/>
                <w:color w:val="000000"/>
                <w:sz w:val="20"/>
                <w:lang w:eastAsia="en-GB"/>
              </w:rPr>
            </w:pPr>
            <w:r w:rsidRPr="00C60C82">
              <w:rPr>
                <w:rFonts w:ascii="Mute" w:hAnsi="Mute" w:cs="Calibri"/>
                <w:b/>
                <w:bCs/>
                <w:color w:val="000000"/>
                <w:sz w:val="20"/>
              </w:rPr>
              <w:t>3108</w:t>
            </w:r>
          </w:p>
        </w:tc>
        <w:tc>
          <w:tcPr>
            <w:tcW w:w="1077" w:type="dxa"/>
            <w:tcBorders>
              <w:top w:val="nil"/>
              <w:left w:val="nil"/>
              <w:bottom w:val="single" w:sz="8" w:space="0" w:color="4BACC6"/>
              <w:right w:val="nil"/>
            </w:tcBorders>
            <w:shd w:val="clear" w:color="auto" w:fill="auto"/>
            <w:noWrap/>
            <w:vAlign w:val="center"/>
            <w:hideMark/>
          </w:tcPr>
          <w:p w14:paraId="2A19E0A7"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82%</w:t>
            </w:r>
          </w:p>
        </w:tc>
        <w:tc>
          <w:tcPr>
            <w:tcW w:w="1077" w:type="dxa"/>
            <w:tcBorders>
              <w:top w:val="nil"/>
              <w:left w:val="nil"/>
              <w:bottom w:val="single" w:sz="8" w:space="0" w:color="4BACC6"/>
              <w:right w:val="nil"/>
            </w:tcBorders>
            <w:shd w:val="clear" w:color="auto" w:fill="auto"/>
            <w:noWrap/>
            <w:vAlign w:val="center"/>
            <w:hideMark/>
          </w:tcPr>
          <w:p w14:paraId="3DCC2888"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14%</w:t>
            </w:r>
          </w:p>
        </w:tc>
        <w:tc>
          <w:tcPr>
            <w:tcW w:w="1077" w:type="dxa"/>
            <w:tcBorders>
              <w:top w:val="nil"/>
              <w:left w:val="nil"/>
              <w:bottom w:val="single" w:sz="8" w:space="0" w:color="4BACC6"/>
              <w:right w:val="nil"/>
            </w:tcBorders>
            <w:shd w:val="clear" w:color="auto" w:fill="auto"/>
            <w:noWrap/>
            <w:vAlign w:val="center"/>
            <w:hideMark/>
          </w:tcPr>
          <w:p w14:paraId="5C3BB648"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0%</w:t>
            </w:r>
          </w:p>
        </w:tc>
        <w:tc>
          <w:tcPr>
            <w:tcW w:w="1077" w:type="dxa"/>
            <w:tcBorders>
              <w:top w:val="nil"/>
              <w:left w:val="nil"/>
              <w:bottom w:val="single" w:sz="8" w:space="0" w:color="4BACC6"/>
              <w:right w:val="nil"/>
            </w:tcBorders>
            <w:shd w:val="clear" w:color="auto" w:fill="auto"/>
            <w:noWrap/>
            <w:vAlign w:val="center"/>
            <w:hideMark/>
          </w:tcPr>
          <w:p w14:paraId="79CCCFEE"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0%</w:t>
            </w:r>
          </w:p>
        </w:tc>
        <w:tc>
          <w:tcPr>
            <w:tcW w:w="1077" w:type="dxa"/>
            <w:tcBorders>
              <w:top w:val="nil"/>
              <w:left w:val="nil"/>
              <w:bottom w:val="single" w:sz="8" w:space="0" w:color="4BACC6"/>
              <w:right w:val="nil"/>
            </w:tcBorders>
            <w:shd w:val="clear" w:color="auto" w:fill="auto"/>
            <w:noWrap/>
            <w:vAlign w:val="center"/>
            <w:hideMark/>
          </w:tcPr>
          <w:p w14:paraId="4151CD41"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4%</w:t>
            </w:r>
          </w:p>
        </w:tc>
        <w:tc>
          <w:tcPr>
            <w:tcW w:w="1077" w:type="dxa"/>
            <w:tcBorders>
              <w:top w:val="nil"/>
              <w:left w:val="nil"/>
              <w:bottom w:val="single" w:sz="8" w:space="0" w:color="4BACC6"/>
              <w:right w:val="nil"/>
            </w:tcBorders>
            <w:shd w:val="clear" w:color="auto" w:fill="auto"/>
            <w:noWrap/>
            <w:vAlign w:val="center"/>
            <w:hideMark/>
          </w:tcPr>
          <w:p w14:paraId="7A3C10C0"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82%</w:t>
            </w:r>
          </w:p>
        </w:tc>
        <w:tc>
          <w:tcPr>
            <w:tcW w:w="1809" w:type="dxa"/>
            <w:tcBorders>
              <w:top w:val="nil"/>
              <w:left w:val="nil"/>
              <w:bottom w:val="single" w:sz="8" w:space="0" w:color="4BACC6"/>
              <w:right w:val="nil"/>
            </w:tcBorders>
            <w:shd w:val="clear" w:color="auto" w:fill="auto"/>
            <w:noWrap/>
            <w:vAlign w:val="center"/>
            <w:hideMark/>
          </w:tcPr>
          <w:p w14:paraId="6D5B834B"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18%</w:t>
            </w:r>
          </w:p>
        </w:tc>
      </w:tr>
      <w:tr w:rsidR="004D0F38" w:rsidRPr="0066796E" w14:paraId="411A885E" w14:textId="77777777" w:rsidTr="00C60C82">
        <w:trPr>
          <w:trHeight w:val="315"/>
        </w:trPr>
        <w:tc>
          <w:tcPr>
            <w:tcW w:w="5000" w:type="dxa"/>
            <w:tcBorders>
              <w:top w:val="nil"/>
              <w:left w:val="nil"/>
              <w:bottom w:val="single" w:sz="8" w:space="0" w:color="4BACC6"/>
              <w:right w:val="nil"/>
            </w:tcBorders>
            <w:shd w:val="clear" w:color="auto" w:fill="auto"/>
            <w:noWrap/>
            <w:vAlign w:val="center"/>
            <w:hideMark/>
          </w:tcPr>
          <w:p w14:paraId="0E8B4BF2" w14:textId="77777777" w:rsidR="004D0F38" w:rsidRPr="00C60C82" w:rsidRDefault="004D0F38" w:rsidP="0066796E">
            <w:pPr>
              <w:spacing w:line="240" w:lineRule="auto"/>
              <w:rPr>
                <w:rFonts w:ascii="Mute" w:hAnsi="Mute"/>
                <w:color w:val="000000"/>
                <w:sz w:val="20"/>
                <w:lang w:eastAsia="en-GB"/>
              </w:rPr>
            </w:pPr>
            <w:r w:rsidRPr="00C60C82">
              <w:rPr>
                <w:rFonts w:ascii="Mute" w:hAnsi="Mute" w:cs="Calibri"/>
                <w:color w:val="000000"/>
                <w:sz w:val="20"/>
              </w:rPr>
              <w:t>Mercer Sustainable Global Equity Fund</w:t>
            </w:r>
          </w:p>
        </w:tc>
        <w:tc>
          <w:tcPr>
            <w:tcW w:w="1188" w:type="dxa"/>
            <w:tcBorders>
              <w:top w:val="nil"/>
              <w:left w:val="nil"/>
              <w:bottom w:val="single" w:sz="8" w:space="0" w:color="4BACC6"/>
              <w:right w:val="nil"/>
            </w:tcBorders>
            <w:shd w:val="clear" w:color="auto" w:fill="auto"/>
            <w:noWrap/>
            <w:vAlign w:val="center"/>
            <w:hideMark/>
          </w:tcPr>
          <w:p w14:paraId="10ED3F3C" w14:textId="77777777" w:rsidR="004D0F38" w:rsidRPr="00C60C82" w:rsidRDefault="004D0F38" w:rsidP="0066796E">
            <w:pPr>
              <w:spacing w:line="240" w:lineRule="auto"/>
              <w:jc w:val="center"/>
              <w:rPr>
                <w:rFonts w:ascii="Mute" w:hAnsi="Mute"/>
                <w:b/>
                <w:bCs/>
                <w:color w:val="000000"/>
                <w:sz w:val="20"/>
                <w:lang w:eastAsia="en-GB"/>
              </w:rPr>
            </w:pPr>
            <w:r w:rsidRPr="00C60C82">
              <w:rPr>
                <w:rFonts w:ascii="Mute" w:hAnsi="Mute" w:cs="Calibri"/>
                <w:b/>
                <w:bCs/>
                <w:color w:val="000000"/>
                <w:sz w:val="20"/>
              </w:rPr>
              <w:t>5052</w:t>
            </w:r>
          </w:p>
        </w:tc>
        <w:tc>
          <w:tcPr>
            <w:tcW w:w="1077" w:type="dxa"/>
            <w:tcBorders>
              <w:top w:val="nil"/>
              <w:left w:val="nil"/>
              <w:bottom w:val="single" w:sz="8" w:space="0" w:color="4BACC6"/>
              <w:right w:val="nil"/>
            </w:tcBorders>
            <w:shd w:val="clear" w:color="auto" w:fill="auto"/>
            <w:noWrap/>
            <w:vAlign w:val="center"/>
            <w:hideMark/>
          </w:tcPr>
          <w:p w14:paraId="789F9CBD"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85%</w:t>
            </w:r>
          </w:p>
        </w:tc>
        <w:tc>
          <w:tcPr>
            <w:tcW w:w="1077" w:type="dxa"/>
            <w:tcBorders>
              <w:top w:val="nil"/>
              <w:left w:val="nil"/>
              <w:bottom w:val="single" w:sz="8" w:space="0" w:color="4BACC6"/>
              <w:right w:val="nil"/>
            </w:tcBorders>
            <w:shd w:val="clear" w:color="auto" w:fill="auto"/>
            <w:noWrap/>
            <w:vAlign w:val="center"/>
            <w:hideMark/>
          </w:tcPr>
          <w:p w14:paraId="1E4CE47D"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13%</w:t>
            </w:r>
          </w:p>
        </w:tc>
        <w:tc>
          <w:tcPr>
            <w:tcW w:w="1077" w:type="dxa"/>
            <w:tcBorders>
              <w:top w:val="nil"/>
              <w:left w:val="nil"/>
              <w:bottom w:val="single" w:sz="8" w:space="0" w:color="4BACC6"/>
              <w:right w:val="nil"/>
            </w:tcBorders>
            <w:shd w:val="clear" w:color="auto" w:fill="auto"/>
            <w:noWrap/>
            <w:vAlign w:val="center"/>
            <w:hideMark/>
          </w:tcPr>
          <w:p w14:paraId="06E6638F"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1%</w:t>
            </w:r>
          </w:p>
        </w:tc>
        <w:tc>
          <w:tcPr>
            <w:tcW w:w="1077" w:type="dxa"/>
            <w:tcBorders>
              <w:top w:val="nil"/>
              <w:left w:val="nil"/>
              <w:bottom w:val="single" w:sz="8" w:space="0" w:color="4BACC6"/>
              <w:right w:val="nil"/>
            </w:tcBorders>
            <w:shd w:val="clear" w:color="auto" w:fill="auto"/>
            <w:noWrap/>
            <w:vAlign w:val="center"/>
            <w:hideMark/>
          </w:tcPr>
          <w:p w14:paraId="4F8617C0"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0%</w:t>
            </w:r>
          </w:p>
        </w:tc>
        <w:tc>
          <w:tcPr>
            <w:tcW w:w="1077" w:type="dxa"/>
            <w:tcBorders>
              <w:top w:val="nil"/>
              <w:left w:val="nil"/>
              <w:bottom w:val="single" w:sz="8" w:space="0" w:color="4BACC6"/>
              <w:right w:val="nil"/>
            </w:tcBorders>
            <w:shd w:val="clear" w:color="auto" w:fill="auto"/>
            <w:noWrap/>
            <w:vAlign w:val="center"/>
            <w:hideMark/>
          </w:tcPr>
          <w:p w14:paraId="664A006E"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1%</w:t>
            </w:r>
          </w:p>
        </w:tc>
        <w:tc>
          <w:tcPr>
            <w:tcW w:w="1077" w:type="dxa"/>
            <w:tcBorders>
              <w:top w:val="nil"/>
              <w:left w:val="nil"/>
              <w:bottom w:val="single" w:sz="8" w:space="0" w:color="4BACC6"/>
              <w:right w:val="nil"/>
            </w:tcBorders>
            <w:shd w:val="clear" w:color="auto" w:fill="auto"/>
            <w:noWrap/>
            <w:vAlign w:val="center"/>
            <w:hideMark/>
          </w:tcPr>
          <w:p w14:paraId="3FFF7A71"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86%</w:t>
            </w:r>
          </w:p>
        </w:tc>
        <w:tc>
          <w:tcPr>
            <w:tcW w:w="1809" w:type="dxa"/>
            <w:tcBorders>
              <w:top w:val="nil"/>
              <w:left w:val="nil"/>
              <w:bottom w:val="single" w:sz="8" w:space="0" w:color="4BACC6"/>
              <w:right w:val="nil"/>
            </w:tcBorders>
            <w:shd w:val="clear" w:color="auto" w:fill="auto"/>
            <w:noWrap/>
            <w:vAlign w:val="center"/>
            <w:hideMark/>
          </w:tcPr>
          <w:p w14:paraId="47090BE7"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14%</w:t>
            </w:r>
          </w:p>
        </w:tc>
      </w:tr>
      <w:tr w:rsidR="004D0F38" w:rsidRPr="0066796E" w14:paraId="219CAEA8" w14:textId="77777777" w:rsidTr="00C60C82">
        <w:trPr>
          <w:trHeight w:val="315"/>
        </w:trPr>
        <w:tc>
          <w:tcPr>
            <w:tcW w:w="5000" w:type="dxa"/>
            <w:tcBorders>
              <w:top w:val="nil"/>
              <w:left w:val="nil"/>
              <w:bottom w:val="single" w:sz="8" w:space="0" w:color="4BACC6"/>
              <w:right w:val="nil"/>
            </w:tcBorders>
            <w:shd w:val="clear" w:color="auto" w:fill="auto"/>
            <w:noWrap/>
            <w:vAlign w:val="center"/>
            <w:hideMark/>
          </w:tcPr>
          <w:p w14:paraId="31EE43C2" w14:textId="77777777" w:rsidR="004D0F38" w:rsidRPr="00C60C82" w:rsidRDefault="004D0F38" w:rsidP="0066796E">
            <w:pPr>
              <w:spacing w:line="240" w:lineRule="auto"/>
              <w:rPr>
                <w:rFonts w:ascii="Mute" w:hAnsi="Mute"/>
                <w:color w:val="000000"/>
                <w:sz w:val="20"/>
                <w:lang w:eastAsia="en-GB"/>
              </w:rPr>
            </w:pPr>
            <w:r w:rsidRPr="00C60C82">
              <w:rPr>
                <w:rFonts w:ascii="Mute" w:hAnsi="Mute" w:cs="Calibri"/>
                <w:color w:val="000000"/>
                <w:sz w:val="20"/>
              </w:rPr>
              <w:t>MGI Emerging Markets Equity Fund</w:t>
            </w:r>
          </w:p>
        </w:tc>
        <w:tc>
          <w:tcPr>
            <w:tcW w:w="1188" w:type="dxa"/>
            <w:tcBorders>
              <w:top w:val="nil"/>
              <w:left w:val="nil"/>
              <w:bottom w:val="single" w:sz="8" w:space="0" w:color="4BACC6"/>
              <w:right w:val="nil"/>
            </w:tcBorders>
            <w:shd w:val="clear" w:color="auto" w:fill="auto"/>
            <w:noWrap/>
            <w:vAlign w:val="center"/>
            <w:hideMark/>
          </w:tcPr>
          <w:p w14:paraId="1CAA3981" w14:textId="77777777" w:rsidR="004D0F38" w:rsidRPr="00C60C82" w:rsidRDefault="004D0F38" w:rsidP="0066796E">
            <w:pPr>
              <w:spacing w:line="240" w:lineRule="auto"/>
              <w:jc w:val="center"/>
              <w:rPr>
                <w:rFonts w:ascii="Mute" w:hAnsi="Mute"/>
                <w:b/>
                <w:bCs/>
                <w:color w:val="000000"/>
                <w:sz w:val="20"/>
                <w:lang w:eastAsia="en-GB"/>
              </w:rPr>
            </w:pPr>
            <w:r w:rsidRPr="00C60C82">
              <w:rPr>
                <w:rFonts w:ascii="Mute" w:hAnsi="Mute" w:cs="Calibri"/>
                <w:b/>
                <w:bCs/>
                <w:color w:val="000000"/>
                <w:sz w:val="20"/>
              </w:rPr>
              <w:t>12819</w:t>
            </w:r>
          </w:p>
        </w:tc>
        <w:tc>
          <w:tcPr>
            <w:tcW w:w="1077" w:type="dxa"/>
            <w:tcBorders>
              <w:top w:val="nil"/>
              <w:left w:val="nil"/>
              <w:bottom w:val="single" w:sz="8" w:space="0" w:color="4BACC6"/>
              <w:right w:val="nil"/>
            </w:tcBorders>
            <w:shd w:val="clear" w:color="auto" w:fill="auto"/>
            <w:noWrap/>
            <w:vAlign w:val="center"/>
            <w:hideMark/>
          </w:tcPr>
          <w:p w14:paraId="496CBD0A"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83%</w:t>
            </w:r>
          </w:p>
        </w:tc>
        <w:tc>
          <w:tcPr>
            <w:tcW w:w="1077" w:type="dxa"/>
            <w:tcBorders>
              <w:top w:val="nil"/>
              <w:left w:val="nil"/>
              <w:bottom w:val="single" w:sz="8" w:space="0" w:color="4BACC6"/>
              <w:right w:val="nil"/>
            </w:tcBorders>
            <w:shd w:val="clear" w:color="auto" w:fill="auto"/>
            <w:noWrap/>
            <w:vAlign w:val="center"/>
            <w:hideMark/>
          </w:tcPr>
          <w:p w14:paraId="6B9D04CB"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13%</w:t>
            </w:r>
          </w:p>
        </w:tc>
        <w:tc>
          <w:tcPr>
            <w:tcW w:w="1077" w:type="dxa"/>
            <w:tcBorders>
              <w:top w:val="nil"/>
              <w:left w:val="nil"/>
              <w:bottom w:val="single" w:sz="8" w:space="0" w:color="4BACC6"/>
              <w:right w:val="nil"/>
            </w:tcBorders>
            <w:shd w:val="clear" w:color="auto" w:fill="auto"/>
            <w:noWrap/>
            <w:vAlign w:val="center"/>
            <w:hideMark/>
          </w:tcPr>
          <w:p w14:paraId="01CDC9A0"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4%</w:t>
            </w:r>
          </w:p>
        </w:tc>
        <w:tc>
          <w:tcPr>
            <w:tcW w:w="1077" w:type="dxa"/>
            <w:tcBorders>
              <w:top w:val="nil"/>
              <w:left w:val="nil"/>
              <w:bottom w:val="single" w:sz="8" w:space="0" w:color="4BACC6"/>
              <w:right w:val="nil"/>
            </w:tcBorders>
            <w:shd w:val="clear" w:color="auto" w:fill="auto"/>
            <w:noWrap/>
            <w:vAlign w:val="center"/>
            <w:hideMark/>
          </w:tcPr>
          <w:p w14:paraId="4EBCA590"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0%</w:t>
            </w:r>
          </w:p>
        </w:tc>
        <w:tc>
          <w:tcPr>
            <w:tcW w:w="1077" w:type="dxa"/>
            <w:tcBorders>
              <w:top w:val="nil"/>
              <w:left w:val="nil"/>
              <w:bottom w:val="single" w:sz="8" w:space="0" w:color="4BACC6"/>
              <w:right w:val="nil"/>
            </w:tcBorders>
            <w:shd w:val="clear" w:color="auto" w:fill="auto"/>
            <w:noWrap/>
            <w:vAlign w:val="center"/>
            <w:hideMark/>
          </w:tcPr>
          <w:p w14:paraId="36286620"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0%</w:t>
            </w:r>
          </w:p>
        </w:tc>
        <w:tc>
          <w:tcPr>
            <w:tcW w:w="1077" w:type="dxa"/>
            <w:tcBorders>
              <w:top w:val="nil"/>
              <w:left w:val="nil"/>
              <w:bottom w:val="single" w:sz="8" w:space="0" w:color="4BACC6"/>
              <w:right w:val="nil"/>
            </w:tcBorders>
            <w:shd w:val="clear" w:color="auto" w:fill="auto"/>
            <w:noWrap/>
            <w:vAlign w:val="center"/>
            <w:hideMark/>
          </w:tcPr>
          <w:p w14:paraId="46E297D1"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85%</w:t>
            </w:r>
          </w:p>
        </w:tc>
        <w:tc>
          <w:tcPr>
            <w:tcW w:w="1809" w:type="dxa"/>
            <w:tcBorders>
              <w:top w:val="nil"/>
              <w:left w:val="nil"/>
              <w:bottom w:val="single" w:sz="8" w:space="0" w:color="4BACC6"/>
              <w:right w:val="nil"/>
            </w:tcBorders>
            <w:shd w:val="clear" w:color="auto" w:fill="auto"/>
            <w:noWrap/>
            <w:vAlign w:val="center"/>
            <w:hideMark/>
          </w:tcPr>
          <w:p w14:paraId="7DE6FD9F"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15%</w:t>
            </w:r>
          </w:p>
        </w:tc>
      </w:tr>
      <w:tr w:rsidR="004D0F38" w:rsidRPr="0066796E" w14:paraId="6CB89920" w14:textId="77777777" w:rsidTr="00C60C82">
        <w:trPr>
          <w:trHeight w:val="315"/>
        </w:trPr>
        <w:tc>
          <w:tcPr>
            <w:tcW w:w="5000" w:type="dxa"/>
            <w:tcBorders>
              <w:top w:val="nil"/>
              <w:left w:val="nil"/>
              <w:bottom w:val="single" w:sz="8" w:space="0" w:color="4BACC6"/>
              <w:right w:val="nil"/>
            </w:tcBorders>
            <w:shd w:val="clear" w:color="auto" w:fill="auto"/>
            <w:noWrap/>
            <w:vAlign w:val="center"/>
            <w:hideMark/>
          </w:tcPr>
          <w:p w14:paraId="12E51A1B" w14:textId="77777777" w:rsidR="004D0F38" w:rsidRPr="00C60C82" w:rsidRDefault="004D0F38" w:rsidP="0066796E">
            <w:pPr>
              <w:spacing w:line="240" w:lineRule="auto"/>
              <w:rPr>
                <w:rFonts w:ascii="Mute" w:hAnsi="Mute"/>
                <w:color w:val="000000"/>
                <w:sz w:val="20"/>
                <w:lang w:eastAsia="en-GB"/>
              </w:rPr>
            </w:pPr>
            <w:r w:rsidRPr="00C60C82">
              <w:rPr>
                <w:rFonts w:ascii="Mute" w:hAnsi="Mute" w:cs="Calibri"/>
                <w:color w:val="000000"/>
                <w:sz w:val="20"/>
              </w:rPr>
              <w:t>MGI Eurozone Equity Fund</w:t>
            </w:r>
          </w:p>
        </w:tc>
        <w:tc>
          <w:tcPr>
            <w:tcW w:w="1188" w:type="dxa"/>
            <w:tcBorders>
              <w:top w:val="nil"/>
              <w:left w:val="nil"/>
              <w:bottom w:val="single" w:sz="8" w:space="0" w:color="4BACC6"/>
              <w:right w:val="nil"/>
            </w:tcBorders>
            <w:shd w:val="clear" w:color="auto" w:fill="auto"/>
            <w:noWrap/>
            <w:vAlign w:val="center"/>
            <w:hideMark/>
          </w:tcPr>
          <w:p w14:paraId="7A2744B0" w14:textId="77777777" w:rsidR="004D0F38" w:rsidRPr="00C60C82" w:rsidRDefault="004D0F38" w:rsidP="0066796E">
            <w:pPr>
              <w:spacing w:line="240" w:lineRule="auto"/>
              <w:jc w:val="center"/>
              <w:rPr>
                <w:rFonts w:ascii="Mute" w:hAnsi="Mute"/>
                <w:b/>
                <w:bCs/>
                <w:color w:val="000000"/>
                <w:sz w:val="20"/>
                <w:lang w:eastAsia="en-GB"/>
              </w:rPr>
            </w:pPr>
            <w:r w:rsidRPr="00C60C82">
              <w:rPr>
                <w:rFonts w:ascii="Mute" w:hAnsi="Mute" w:cs="Calibri"/>
                <w:b/>
                <w:bCs/>
                <w:color w:val="000000"/>
                <w:sz w:val="20"/>
              </w:rPr>
              <w:t>4410</w:t>
            </w:r>
          </w:p>
        </w:tc>
        <w:tc>
          <w:tcPr>
            <w:tcW w:w="1077" w:type="dxa"/>
            <w:tcBorders>
              <w:top w:val="nil"/>
              <w:left w:val="nil"/>
              <w:bottom w:val="single" w:sz="8" w:space="0" w:color="4BACC6"/>
              <w:right w:val="nil"/>
            </w:tcBorders>
            <w:shd w:val="clear" w:color="auto" w:fill="auto"/>
            <w:noWrap/>
            <w:vAlign w:val="center"/>
            <w:hideMark/>
          </w:tcPr>
          <w:p w14:paraId="4F830DB2"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84%</w:t>
            </w:r>
          </w:p>
        </w:tc>
        <w:tc>
          <w:tcPr>
            <w:tcW w:w="1077" w:type="dxa"/>
            <w:tcBorders>
              <w:top w:val="nil"/>
              <w:left w:val="nil"/>
              <w:bottom w:val="single" w:sz="8" w:space="0" w:color="4BACC6"/>
              <w:right w:val="nil"/>
            </w:tcBorders>
            <w:shd w:val="clear" w:color="auto" w:fill="auto"/>
            <w:noWrap/>
            <w:vAlign w:val="center"/>
            <w:hideMark/>
          </w:tcPr>
          <w:p w14:paraId="71B145F2"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13%</w:t>
            </w:r>
          </w:p>
        </w:tc>
        <w:tc>
          <w:tcPr>
            <w:tcW w:w="1077" w:type="dxa"/>
            <w:tcBorders>
              <w:top w:val="nil"/>
              <w:left w:val="nil"/>
              <w:bottom w:val="single" w:sz="8" w:space="0" w:color="4BACC6"/>
              <w:right w:val="nil"/>
            </w:tcBorders>
            <w:shd w:val="clear" w:color="auto" w:fill="auto"/>
            <w:noWrap/>
            <w:vAlign w:val="center"/>
            <w:hideMark/>
          </w:tcPr>
          <w:p w14:paraId="38D53E6A"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3%</w:t>
            </w:r>
          </w:p>
        </w:tc>
        <w:tc>
          <w:tcPr>
            <w:tcW w:w="1077" w:type="dxa"/>
            <w:tcBorders>
              <w:top w:val="nil"/>
              <w:left w:val="nil"/>
              <w:bottom w:val="single" w:sz="8" w:space="0" w:color="4BACC6"/>
              <w:right w:val="nil"/>
            </w:tcBorders>
            <w:shd w:val="clear" w:color="auto" w:fill="auto"/>
            <w:noWrap/>
            <w:vAlign w:val="center"/>
            <w:hideMark/>
          </w:tcPr>
          <w:p w14:paraId="67C838C1"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0%</w:t>
            </w:r>
          </w:p>
        </w:tc>
        <w:tc>
          <w:tcPr>
            <w:tcW w:w="1077" w:type="dxa"/>
            <w:tcBorders>
              <w:top w:val="nil"/>
              <w:left w:val="nil"/>
              <w:bottom w:val="single" w:sz="8" w:space="0" w:color="4BACC6"/>
              <w:right w:val="nil"/>
            </w:tcBorders>
            <w:shd w:val="clear" w:color="auto" w:fill="auto"/>
            <w:noWrap/>
            <w:vAlign w:val="center"/>
            <w:hideMark/>
          </w:tcPr>
          <w:p w14:paraId="07363290"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0%</w:t>
            </w:r>
          </w:p>
        </w:tc>
        <w:tc>
          <w:tcPr>
            <w:tcW w:w="1077" w:type="dxa"/>
            <w:tcBorders>
              <w:top w:val="nil"/>
              <w:left w:val="nil"/>
              <w:bottom w:val="single" w:sz="8" w:space="0" w:color="4BACC6"/>
              <w:right w:val="nil"/>
            </w:tcBorders>
            <w:shd w:val="clear" w:color="auto" w:fill="auto"/>
            <w:noWrap/>
            <w:vAlign w:val="center"/>
            <w:hideMark/>
          </w:tcPr>
          <w:p w14:paraId="453E67BF"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85%</w:t>
            </w:r>
          </w:p>
        </w:tc>
        <w:tc>
          <w:tcPr>
            <w:tcW w:w="1809" w:type="dxa"/>
            <w:tcBorders>
              <w:top w:val="nil"/>
              <w:left w:val="nil"/>
              <w:bottom w:val="single" w:sz="8" w:space="0" w:color="4BACC6"/>
              <w:right w:val="nil"/>
            </w:tcBorders>
            <w:shd w:val="clear" w:color="auto" w:fill="auto"/>
            <w:noWrap/>
            <w:vAlign w:val="center"/>
            <w:hideMark/>
          </w:tcPr>
          <w:p w14:paraId="061EF563"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15%</w:t>
            </w:r>
          </w:p>
        </w:tc>
      </w:tr>
      <w:tr w:rsidR="004D0F38" w:rsidRPr="0066796E" w14:paraId="50675CC6" w14:textId="77777777" w:rsidTr="00C60C82">
        <w:trPr>
          <w:trHeight w:val="315"/>
        </w:trPr>
        <w:tc>
          <w:tcPr>
            <w:tcW w:w="5000" w:type="dxa"/>
            <w:tcBorders>
              <w:top w:val="nil"/>
              <w:left w:val="nil"/>
              <w:bottom w:val="single" w:sz="8" w:space="0" w:color="4BACC6"/>
              <w:right w:val="nil"/>
            </w:tcBorders>
            <w:shd w:val="clear" w:color="auto" w:fill="auto"/>
            <w:noWrap/>
            <w:vAlign w:val="center"/>
            <w:hideMark/>
          </w:tcPr>
          <w:p w14:paraId="66115D0D" w14:textId="77777777" w:rsidR="004D0F38" w:rsidRPr="00C60C82" w:rsidRDefault="004D0F38" w:rsidP="0066796E">
            <w:pPr>
              <w:spacing w:line="240" w:lineRule="auto"/>
              <w:rPr>
                <w:rFonts w:ascii="Mute" w:hAnsi="Mute"/>
                <w:color w:val="000000"/>
                <w:sz w:val="20"/>
                <w:lang w:eastAsia="en-GB"/>
              </w:rPr>
            </w:pPr>
            <w:r w:rsidRPr="00C60C82">
              <w:rPr>
                <w:rFonts w:ascii="Mute" w:hAnsi="Mute" w:cs="Calibri"/>
                <w:color w:val="000000"/>
                <w:sz w:val="20"/>
              </w:rPr>
              <w:t>MGI UK Equity Fund</w:t>
            </w:r>
          </w:p>
        </w:tc>
        <w:tc>
          <w:tcPr>
            <w:tcW w:w="1188" w:type="dxa"/>
            <w:tcBorders>
              <w:top w:val="nil"/>
              <w:left w:val="nil"/>
              <w:bottom w:val="single" w:sz="8" w:space="0" w:color="4BACC6"/>
              <w:right w:val="nil"/>
            </w:tcBorders>
            <w:shd w:val="clear" w:color="auto" w:fill="auto"/>
            <w:noWrap/>
            <w:vAlign w:val="center"/>
            <w:hideMark/>
          </w:tcPr>
          <w:p w14:paraId="432BAAC4" w14:textId="77777777" w:rsidR="004D0F38" w:rsidRPr="00C60C82" w:rsidRDefault="004D0F38" w:rsidP="0066796E">
            <w:pPr>
              <w:spacing w:line="240" w:lineRule="auto"/>
              <w:jc w:val="center"/>
              <w:rPr>
                <w:rFonts w:ascii="Mute" w:hAnsi="Mute"/>
                <w:b/>
                <w:bCs/>
                <w:color w:val="000000"/>
                <w:sz w:val="20"/>
                <w:lang w:eastAsia="en-GB"/>
              </w:rPr>
            </w:pPr>
            <w:r w:rsidRPr="00C60C82">
              <w:rPr>
                <w:rFonts w:ascii="Mute" w:hAnsi="Mute" w:cs="Calibri"/>
                <w:b/>
                <w:bCs/>
                <w:color w:val="000000"/>
                <w:sz w:val="20"/>
              </w:rPr>
              <w:t>1066</w:t>
            </w:r>
          </w:p>
        </w:tc>
        <w:tc>
          <w:tcPr>
            <w:tcW w:w="1077" w:type="dxa"/>
            <w:tcBorders>
              <w:top w:val="nil"/>
              <w:left w:val="nil"/>
              <w:bottom w:val="single" w:sz="8" w:space="0" w:color="4BACC6"/>
              <w:right w:val="nil"/>
            </w:tcBorders>
            <w:shd w:val="clear" w:color="auto" w:fill="auto"/>
            <w:noWrap/>
            <w:vAlign w:val="center"/>
            <w:hideMark/>
          </w:tcPr>
          <w:p w14:paraId="7D430262"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99%</w:t>
            </w:r>
          </w:p>
        </w:tc>
        <w:tc>
          <w:tcPr>
            <w:tcW w:w="1077" w:type="dxa"/>
            <w:tcBorders>
              <w:top w:val="nil"/>
              <w:left w:val="nil"/>
              <w:bottom w:val="single" w:sz="8" w:space="0" w:color="4BACC6"/>
              <w:right w:val="nil"/>
            </w:tcBorders>
            <w:shd w:val="clear" w:color="auto" w:fill="auto"/>
            <w:noWrap/>
            <w:vAlign w:val="center"/>
            <w:hideMark/>
          </w:tcPr>
          <w:p w14:paraId="0EBF59FF"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1%</w:t>
            </w:r>
          </w:p>
        </w:tc>
        <w:tc>
          <w:tcPr>
            <w:tcW w:w="1077" w:type="dxa"/>
            <w:tcBorders>
              <w:top w:val="nil"/>
              <w:left w:val="nil"/>
              <w:bottom w:val="single" w:sz="8" w:space="0" w:color="4BACC6"/>
              <w:right w:val="nil"/>
            </w:tcBorders>
            <w:shd w:val="clear" w:color="auto" w:fill="auto"/>
            <w:noWrap/>
            <w:vAlign w:val="center"/>
            <w:hideMark/>
          </w:tcPr>
          <w:p w14:paraId="5DEC50CB"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0%</w:t>
            </w:r>
          </w:p>
        </w:tc>
        <w:tc>
          <w:tcPr>
            <w:tcW w:w="1077" w:type="dxa"/>
            <w:tcBorders>
              <w:top w:val="nil"/>
              <w:left w:val="nil"/>
              <w:bottom w:val="single" w:sz="8" w:space="0" w:color="4BACC6"/>
              <w:right w:val="nil"/>
            </w:tcBorders>
            <w:shd w:val="clear" w:color="auto" w:fill="auto"/>
            <w:noWrap/>
            <w:vAlign w:val="center"/>
            <w:hideMark/>
          </w:tcPr>
          <w:p w14:paraId="4DE46EB0"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0%</w:t>
            </w:r>
          </w:p>
        </w:tc>
        <w:tc>
          <w:tcPr>
            <w:tcW w:w="1077" w:type="dxa"/>
            <w:tcBorders>
              <w:top w:val="nil"/>
              <w:left w:val="nil"/>
              <w:bottom w:val="single" w:sz="8" w:space="0" w:color="4BACC6"/>
              <w:right w:val="nil"/>
            </w:tcBorders>
            <w:shd w:val="clear" w:color="auto" w:fill="auto"/>
            <w:noWrap/>
            <w:vAlign w:val="center"/>
            <w:hideMark/>
          </w:tcPr>
          <w:p w14:paraId="4F7721D7"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0%</w:t>
            </w:r>
          </w:p>
        </w:tc>
        <w:tc>
          <w:tcPr>
            <w:tcW w:w="1077" w:type="dxa"/>
            <w:tcBorders>
              <w:top w:val="nil"/>
              <w:left w:val="nil"/>
              <w:bottom w:val="single" w:sz="8" w:space="0" w:color="4BACC6"/>
              <w:right w:val="nil"/>
            </w:tcBorders>
            <w:shd w:val="clear" w:color="auto" w:fill="auto"/>
            <w:noWrap/>
            <w:vAlign w:val="center"/>
            <w:hideMark/>
          </w:tcPr>
          <w:p w14:paraId="285A0F05"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99%</w:t>
            </w:r>
          </w:p>
        </w:tc>
        <w:tc>
          <w:tcPr>
            <w:tcW w:w="1809" w:type="dxa"/>
            <w:tcBorders>
              <w:top w:val="nil"/>
              <w:left w:val="nil"/>
              <w:bottom w:val="single" w:sz="8" w:space="0" w:color="4BACC6"/>
              <w:right w:val="nil"/>
            </w:tcBorders>
            <w:shd w:val="clear" w:color="auto" w:fill="auto"/>
            <w:noWrap/>
            <w:vAlign w:val="center"/>
            <w:hideMark/>
          </w:tcPr>
          <w:p w14:paraId="21FF0B75" w14:textId="77777777" w:rsidR="004D0F38" w:rsidRPr="00C60C82" w:rsidRDefault="004D0F38" w:rsidP="0066796E">
            <w:pPr>
              <w:spacing w:line="240" w:lineRule="auto"/>
              <w:jc w:val="center"/>
              <w:rPr>
                <w:rFonts w:ascii="Mute" w:hAnsi="Mute"/>
                <w:color w:val="000000"/>
                <w:sz w:val="20"/>
                <w:lang w:eastAsia="en-GB"/>
              </w:rPr>
            </w:pPr>
            <w:r w:rsidRPr="00C60C82">
              <w:rPr>
                <w:rFonts w:ascii="Mute" w:hAnsi="Mute" w:cs="Calibri"/>
                <w:color w:val="000000"/>
                <w:sz w:val="20"/>
              </w:rPr>
              <w:t>1%</w:t>
            </w:r>
          </w:p>
        </w:tc>
      </w:tr>
    </w:tbl>
    <w:p w14:paraId="65B7A1FD" w14:textId="404240A6" w:rsidR="004D0F38" w:rsidRPr="0066796E" w:rsidRDefault="00D23C39" w:rsidP="00292CD4">
      <w:pPr>
        <w:rPr>
          <w:rFonts w:ascii="Mute" w:hAnsi="Mute"/>
          <w:b/>
          <w:color w:val="1F497D" w:themeColor="text2"/>
          <w:sz w:val="20"/>
        </w:rPr>
      </w:pPr>
      <w:r w:rsidRPr="0066796E">
        <w:rPr>
          <w:rFonts w:ascii="Mute" w:hAnsi="Mute"/>
          <w:i/>
          <w:color w:val="1F497D" w:themeColor="text2"/>
          <w:sz w:val="16"/>
        </w:rPr>
        <w:t xml:space="preserve">*Proxy advisor not used by at least one underlying manager of the fund. </w:t>
      </w:r>
    </w:p>
    <w:p w14:paraId="4768EBFB" w14:textId="77777777" w:rsidR="00C9410B" w:rsidRDefault="00C9410B" w:rsidP="00292CD4">
      <w:pPr>
        <w:rPr>
          <w:rFonts w:ascii="Mute" w:hAnsi="Mute"/>
          <w:b/>
          <w:color w:val="1F497D" w:themeColor="text2"/>
          <w:sz w:val="20"/>
        </w:rPr>
      </w:pPr>
    </w:p>
    <w:p w14:paraId="7EA8D0D0" w14:textId="77777777" w:rsidR="00F61341" w:rsidRDefault="00F61341" w:rsidP="00292CD4">
      <w:pPr>
        <w:rPr>
          <w:rFonts w:ascii="Mute" w:hAnsi="Mute"/>
          <w:b/>
          <w:color w:val="1F497D" w:themeColor="text2"/>
          <w:sz w:val="20"/>
        </w:rPr>
      </w:pPr>
    </w:p>
    <w:p w14:paraId="08345D43" w14:textId="69D3D53F" w:rsidR="00292CD4" w:rsidRPr="0066796E" w:rsidRDefault="00F54703" w:rsidP="00292CD4">
      <w:pPr>
        <w:rPr>
          <w:rFonts w:ascii="Mute" w:hAnsi="Mute"/>
          <w:b/>
          <w:color w:val="1F497D" w:themeColor="text2"/>
          <w:sz w:val="20"/>
        </w:rPr>
      </w:pPr>
      <w:r w:rsidRPr="0066796E">
        <w:rPr>
          <w:rFonts w:ascii="Mute" w:hAnsi="Mute"/>
          <w:b/>
          <w:color w:val="1F497D" w:themeColor="text2"/>
          <w:sz w:val="20"/>
        </w:rPr>
        <w:t>Example Summary o</w:t>
      </w:r>
      <w:r w:rsidR="00C9410B">
        <w:rPr>
          <w:rFonts w:ascii="Mute" w:hAnsi="Mute"/>
          <w:b/>
          <w:color w:val="1F497D" w:themeColor="text2"/>
          <w:sz w:val="20"/>
        </w:rPr>
        <w:t>f Significant Votes 1 April 2021</w:t>
      </w:r>
      <w:r w:rsidRPr="0066796E">
        <w:rPr>
          <w:rFonts w:ascii="Mute" w:hAnsi="Mute"/>
          <w:b/>
          <w:color w:val="1F497D" w:themeColor="text2"/>
          <w:sz w:val="20"/>
        </w:rPr>
        <w:t xml:space="preserve"> to 31 March 202</w:t>
      </w:r>
      <w:r w:rsidR="004D0F38" w:rsidRPr="0066796E">
        <w:rPr>
          <w:rFonts w:ascii="Mute" w:hAnsi="Mute"/>
          <w:b/>
          <w:color w:val="1F497D" w:themeColor="text2"/>
          <w:sz w:val="20"/>
        </w:rPr>
        <w:t>2</w:t>
      </w:r>
    </w:p>
    <w:p w14:paraId="469BF02C" w14:textId="6759A1D2" w:rsidR="001D24B6" w:rsidRPr="0066796E" w:rsidRDefault="001D24B6" w:rsidP="00292CD4">
      <w:pPr>
        <w:rPr>
          <w:rFonts w:ascii="Mute" w:hAnsi="Mute"/>
          <w:b/>
          <w:color w:val="1F497D" w:themeColor="text2"/>
          <w:sz w:val="20"/>
        </w:rPr>
      </w:pPr>
    </w:p>
    <w:p w14:paraId="5CDE3A3D" w14:textId="74406FBB" w:rsidR="001D24B6" w:rsidRPr="00C9410B" w:rsidRDefault="001D24B6" w:rsidP="001D24B6">
      <w:pPr>
        <w:pStyle w:val="HeadingNumber1"/>
        <w:numPr>
          <w:ilvl w:val="0"/>
          <w:numId w:val="0"/>
        </w:numPr>
        <w:ind w:left="720" w:hanging="720"/>
        <w:rPr>
          <w:rFonts w:ascii="Mute" w:hAnsi="Mute"/>
          <w:noProof/>
          <w:color w:val="1F497D" w:themeColor="text2"/>
          <w:sz w:val="20"/>
          <w:lang w:eastAsia="en-GB"/>
        </w:rPr>
      </w:pPr>
      <w:r w:rsidRPr="00C9410B">
        <w:rPr>
          <w:rFonts w:ascii="Mute" w:hAnsi="Mute"/>
          <w:noProof/>
          <w:color w:val="1F497D" w:themeColor="text2"/>
          <w:sz w:val="20"/>
          <w:lang w:eastAsia="en-GB"/>
        </w:rPr>
        <mc:AlternateContent>
          <mc:Choice Requires="wps">
            <w:drawing>
              <wp:anchor distT="0" distB="0" distL="114300" distR="114300" simplePos="0" relativeHeight="251660288" behindDoc="0" locked="0" layoutInCell="1" allowOverlap="1" wp14:anchorId="546D0E80" wp14:editId="76D22441">
                <wp:simplePos x="0" y="0"/>
                <wp:positionH relativeFrom="column">
                  <wp:posOffset>10676255</wp:posOffset>
                </wp:positionH>
                <wp:positionV relativeFrom="paragraph">
                  <wp:posOffset>435610</wp:posOffset>
                </wp:positionV>
                <wp:extent cx="2432050" cy="2931160"/>
                <wp:effectExtent l="0" t="0" r="0" b="254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93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33CCC" w14:textId="77777777" w:rsidR="0066796E" w:rsidRDefault="0066796E" w:rsidP="001D24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D0E80" id="_x0000_t202" coordsize="21600,21600" o:spt="202" path="m,l,21600r21600,l21600,xe">
                <v:stroke joinstyle="miter"/>
                <v:path gradientshapeok="t" o:connecttype="rect"/>
              </v:shapetype>
              <v:shape id="Text Box 134" o:spid="_x0000_s1026" type="#_x0000_t202" style="position:absolute;left:0;text-align:left;margin-left:840.65pt;margin-top:34.3pt;width:191.5pt;height:23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u2uAIAAL4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" filled="f" stroked="f">
                <v:textbox>
                  <w:txbxContent>
                    <w:p w14:paraId="26433CCC" w14:textId="77777777" w:rsidR="0066796E" w:rsidRDefault="0066796E" w:rsidP="001D24B6"/>
                  </w:txbxContent>
                </v:textbox>
              </v:shape>
            </w:pict>
          </mc:Fallback>
        </mc:AlternateContent>
      </w:r>
      <w:r w:rsidRPr="00C9410B">
        <w:rPr>
          <w:rFonts w:ascii="Mute" w:hAnsi="Mute"/>
          <w:noProof/>
          <w:color w:val="1F497D" w:themeColor="text2"/>
          <w:sz w:val="20"/>
          <w:lang w:eastAsia="en-GB"/>
        </w:rPr>
        <w:t>Sample of t</w:t>
      </w:r>
      <w:r w:rsidR="00C60C82" w:rsidRPr="00C9410B">
        <w:rPr>
          <w:rFonts w:ascii="Mute" w:hAnsi="Mute"/>
          <w:noProof/>
          <w:color w:val="1F497D" w:themeColor="text2"/>
          <w:sz w:val="20"/>
          <w:lang w:eastAsia="en-GB"/>
        </w:rPr>
        <w:t xml:space="preserve">he most significant votes </w:t>
      </w:r>
      <w:r w:rsidRPr="00C9410B">
        <w:rPr>
          <w:rFonts w:ascii="Mute" w:hAnsi="Mute"/>
          <w:noProof/>
          <w:color w:val="1F497D" w:themeColor="text2"/>
          <w:sz w:val="20"/>
          <w:lang w:eastAsia="en-GB"/>
        </w:rPr>
        <w:t xml:space="preserve"> </w:t>
      </w:r>
      <w:r w:rsidRPr="00C9410B" w:rsidDel="003C5CA6">
        <w:rPr>
          <w:rFonts w:ascii="Mute" w:hAnsi="Mute"/>
          <w:noProof/>
          <w:color w:val="1F497D" w:themeColor="text2"/>
          <w:sz w:val="20"/>
          <w:lang w:eastAsia="en-GB"/>
        </w:rPr>
        <w:t xml:space="preserve"> </w:t>
      </w:r>
    </w:p>
    <w:p w14:paraId="74A1ED52" w14:textId="77777777" w:rsidR="001D24B6" w:rsidRPr="0066796E" w:rsidRDefault="001D24B6" w:rsidP="00292CD4">
      <w:pPr>
        <w:rPr>
          <w:rFonts w:ascii="Mute" w:hAnsi="Mute"/>
          <w:b/>
          <w:color w:val="1F497D" w:themeColor="text2"/>
          <w:sz w:val="20"/>
        </w:rPr>
      </w:pPr>
    </w:p>
    <w:p w14:paraId="16C6EBF5" w14:textId="6856CB6D" w:rsidR="004D0F38" w:rsidRPr="0066796E" w:rsidRDefault="004D0F38" w:rsidP="00292CD4">
      <w:pPr>
        <w:rPr>
          <w:rFonts w:ascii="Mute" w:hAnsi="Mute"/>
          <w:b/>
          <w:color w:val="1F497D" w:themeColor="text2"/>
          <w:sz w:val="20"/>
        </w:rPr>
      </w:pPr>
    </w:p>
    <w:tbl>
      <w:tblPr>
        <w:tblW w:w="14566" w:type="dxa"/>
        <w:tblLook w:val="04A0" w:firstRow="1" w:lastRow="0" w:firstColumn="1" w:lastColumn="0" w:noHBand="0" w:noVBand="1"/>
      </w:tblPr>
      <w:tblGrid>
        <w:gridCol w:w="2924"/>
        <w:gridCol w:w="8069"/>
        <w:gridCol w:w="2286"/>
        <w:gridCol w:w="1287"/>
      </w:tblGrid>
      <w:tr w:rsidR="004D0F38" w:rsidRPr="00C60C82" w14:paraId="12BAB973" w14:textId="77777777" w:rsidTr="006A4307">
        <w:trPr>
          <w:trHeight w:val="275"/>
        </w:trPr>
        <w:tc>
          <w:tcPr>
            <w:tcW w:w="2924" w:type="dxa"/>
            <w:tcBorders>
              <w:top w:val="single" w:sz="8" w:space="0" w:color="009DE0"/>
              <w:left w:val="single" w:sz="8" w:space="0" w:color="009DE0"/>
              <w:bottom w:val="single" w:sz="8" w:space="0" w:color="009DE0"/>
              <w:right w:val="nil"/>
            </w:tcBorders>
            <w:shd w:val="clear" w:color="auto" w:fill="auto"/>
            <w:noWrap/>
            <w:vAlign w:val="center"/>
            <w:hideMark/>
          </w:tcPr>
          <w:p w14:paraId="11032947" w14:textId="77777777" w:rsidR="004D0F38" w:rsidRPr="00C60C82" w:rsidRDefault="004D0F38" w:rsidP="0066796E">
            <w:pPr>
              <w:spacing w:line="240" w:lineRule="auto"/>
              <w:rPr>
                <w:rFonts w:ascii="Mute" w:hAnsi="Mute" w:cs="Calibri"/>
                <w:b/>
                <w:bCs/>
                <w:color w:val="000000"/>
                <w:sz w:val="20"/>
                <w:lang w:eastAsia="en-GB"/>
              </w:rPr>
            </w:pPr>
            <w:r w:rsidRPr="00C60C82">
              <w:rPr>
                <w:rFonts w:ascii="Mute" w:hAnsi="Mute" w:cs="Calibri"/>
                <w:b/>
                <w:bCs/>
                <w:color w:val="000000"/>
                <w:sz w:val="20"/>
                <w:lang w:eastAsia="en-GB"/>
              </w:rPr>
              <w:t>Fund</w:t>
            </w:r>
          </w:p>
        </w:tc>
        <w:tc>
          <w:tcPr>
            <w:tcW w:w="8069" w:type="dxa"/>
            <w:tcBorders>
              <w:top w:val="single" w:sz="8" w:space="0" w:color="009DE0"/>
              <w:left w:val="nil"/>
              <w:bottom w:val="single" w:sz="8" w:space="0" w:color="009DE0"/>
              <w:right w:val="nil"/>
            </w:tcBorders>
            <w:shd w:val="clear" w:color="auto" w:fill="auto"/>
            <w:noWrap/>
            <w:vAlign w:val="center"/>
            <w:hideMark/>
          </w:tcPr>
          <w:p w14:paraId="4153397F" w14:textId="77777777" w:rsidR="004D0F38" w:rsidRPr="00C60C82" w:rsidRDefault="004D0F38" w:rsidP="0066796E">
            <w:pPr>
              <w:spacing w:line="240" w:lineRule="auto"/>
              <w:rPr>
                <w:rFonts w:ascii="Mute" w:hAnsi="Mute" w:cs="Calibri"/>
                <w:b/>
                <w:bCs/>
                <w:color w:val="000000"/>
                <w:sz w:val="20"/>
                <w:lang w:eastAsia="en-GB"/>
              </w:rPr>
            </w:pPr>
            <w:r w:rsidRPr="00C60C82">
              <w:rPr>
                <w:rFonts w:ascii="Mute" w:hAnsi="Mute" w:cs="Calibri"/>
                <w:b/>
                <w:bCs/>
                <w:color w:val="000000"/>
                <w:sz w:val="20"/>
                <w:lang w:eastAsia="en-GB"/>
              </w:rPr>
              <w:t>Shareholder Proposal (“SHP”)</w:t>
            </w:r>
          </w:p>
        </w:tc>
        <w:tc>
          <w:tcPr>
            <w:tcW w:w="2286" w:type="dxa"/>
            <w:tcBorders>
              <w:top w:val="single" w:sz="8" w:space="0" w:color="009DE0"/>
              <w:left w:val="nil"/>
              <w:bottom w:val="single" w:sz="8" w:space="0" w:color="009DE0"/>
              <w:right w:val="nil"/>
            </w:tcBorders>
            <w:shd w:val="clear" w:color="auto" w:fill="auto"/>
            <w:noWrap/>
            <w:vAlign w:val="center"/>
            <w:hideMark/>
          </w:tcPr>
          <w:p w14:paraId="30D19986" w14:textId="77777777" w:rsidR="004D0F38" w:rsidRPr="00C60C82" w:rsidRDefault="004D0F38" w:rsidP="0066796E">
            <w:pPr>
              <w:spacing w:line="240" w:lineRule="auto"/>
              <w:rPr>
                <w:rFonts w:ascii="Mute" w:hAnsi="Mute" w:cs="Calibri"/>
                <w:b/>
                <w:bCs/>
                <w:color w:val="000000"/>
                <w:sz w:val="20"/>
                <w:lang w:eastAsia="en-GB"/>
              </w:rPr>
            </w:pPr>
            <w:r w:rsidRPr="00C60C82">
              <w:rPr>
                <w:rFonts w:ascii="Mute" w:hAnsi="Mute" w:cs="Calibri"/>
                <w:b/>
                <w:bCs/>
                <w:color w:val="000000"/>
                <w:sz w:val="20"/>
                <w:lang w:eastAsia="en-GB"/>
              </w:rPr>
              <w:t xml:space="preserve">Issuer </w:t>
            </w:r>
          </w:p>
        </w:tc>
        <w:tc>
          <w:tcPr>
            <w:tcW w:w="1286" w:type="dxa"/>
            <w:tcBorders>
              <w:top w:val="single" w:sz="8" w:space="0" w:color="009DE0"/>
              <w:left w:val="nil"/>
              <w:bottom w:val="single" w:sz="8" w:space="0" w:color="009DE0"/>
              <w:right w:val="single" w:sz="8" w:space="0" w:color="009DE0"/>
            </w:tcBorders>
            <w:shd w:val="clear" w:color="auto" w:fill="auto"/>
            <w:noWrap/>
            <w:vAlign w:val="center"/>
            <w:hideMark/>
          </w:tcPr>
          <w:p w14:paraId="73FB8218" w14:textId="77777777" w:rsidR="004D0F38" w:rsidRPr="00C60C82" w:rsidRDefault="004D0F38" w:rsidP="0066796E">
            <w:pPr>
              <w:spacing w:line="240" w:lineRule="auto"/>
              <w:rPr>
                <w:rFonts w:ascii="Mute" w:hAnsi="Mute" w:cs="Calibri"/>
                <w:b/>
                <w:bCs/>
                <w:color w:val="000000"/>
                <w:sz w:val="20"/>
                <w:lang w:eastAsia="en-GB"/>
              </w:rPr>
            </w:pPr>
            <w:r w:rsidRPr="00C60C82">
              <w:rPr>
                <w:rFonts w:ascii="Mute" w:hAnsi="Mute" w:cs="Calibri"/>
                <w:b/>
                <w:bCs/>
                <w:color w:val="000000"/>
                <w:sz w:val="20"/>
                <w:lang w:eastAsia="en-GB"/>
              </w:rPr>
              <w:t>Vote Decision</w:t>
            </w:r>
          </w:p>
        </w:tc>
      </w:tr>
      <w:tr w:rsidR="004D0F38" w:rsidRPr="00C60C82" w14:paraId="5DD7CFC9" w14:textId="77777777" w:rsidTr="006A4307">
        <w:trPr>
          <w:trHeight w:val="261"/>
        </w:trPr>
        <w:tc>
          <w:tcPr>
            <w:tcW w:w="2924" w:type="dxa"/>
            <w:vMerge w:val="restart"/>
            <w:tcBorders>
              <w:top w:val="nil"/>
              <w:left w:val="nil"/>
              <w:right w:val="nil"/>
            </w:tcBorders>
            <w:shd w:val="clear" w:color="auto" w:fill="auto"/>
            <w:vAlign w:val="center"/>
            <w:hideMark/>
          </w:tcPr>
          <w:p w14:paraId="24E5DAF1" w14:textId="77777777" w:rsidR="004D0F38" w:rsidRPr="00C60C82" w:rsidRDefault="004D0F38" w:rsidP="0066796E">
            <w:pPr>
              <w:spacing w:line="240" w:lineRule="auto"/>
              <w:rPr>
                <w:rFonts w:ascii="Mute" w:hAnsi="Mute" w:cs="Calibri"/>
                <w:b/>
                <w:bCs/>
                <w:color w:val="000000"/>
                <w:sz w:val="20"/>
                <w:lang w:eastAsia="en-GB"/>
              </w:rPr>
            </w:pPr>
            <w:r w:rsidRPr="00C60C82">
              <w:rPr>
                <w:rFonts w:ascii="Mute" w:hAnsi="Mute" w:cs="Calibri"/>
                <w:b/>
                <w:bCs/>
                <w:color w:val="000000"/>
                <w:sz w:val="20"/>
                <w:lang w:eastAsia="en-GB"/>
              </w:rPr>
              <w:t>Mercer Global Listed Infrastructure Fund</w:t>
            </w:r>
          </w:p>
        </w:tc>
        <w:tc>
          <w:tcPr>
            <w:tcW w:w="8069" w:type="dxa"/>
            <w:tcBorders>
              <w:top w:val="nil"/>
              <w:left w:val="nil"/>
              <w:bottom w:val="nil"/>
              <w:right w:val="nil"/>
            </w:tcBorders>
            <w:shd w:val="clear" w:color="auto" w:fill="auto"/>
            <w:noWrap/>
            <w:vAlign w:val="bottom"/>
            <w:hideMark/>
          </w:tcPr>
          <w:p w14:paraId="210D1F80" w14:textId="77777777" w:rsidR="004D0F38" w:rsidRPr="00C60C82" w:rsidRDefault="004D0F38" w:rsidP="0066796E">
            <w:pPr>
              <w:spacing w:line="240" w:lineRule="auto"/>
              <w:rPr>
                <w:rFonts w:ascii="Mute" w:hAnsi="Mute" w:cs="Calibri"/>
                <w:color w:val="000000"/>
                <w:sz w:val="20"/>
                <w:lang w:eastAsia="en-GB"/>
              </w:rPr>
            </w:pPr>
            <w:r w:rsidRPr="00C60C82">
              <w:rPr>
                <w:rFonts w:ascii="Mute" w:hAnsi="Mute" w:cs="Calibri"/>
                <w:color w:val="000000"/>
                <w:sz w:val="20"/>
                <w:lang w:eastAsia="en-GB"/>
              </w:rPr>
              <w:t>Management Proposal Regarding Advisory Vote on Climate Action Plan (2021-2030)</w:t>
            </w:r>
          </w:p>
        </w:tc>
        <w:tc>
          <w:tcPr>
            <w:tcW w:w="2286" w:type="dxa"/>
            <w:tcBorders>
              <w:top w:val="nil"/>
              <w:left w:val="nil"/>
              <w:bottom w:val="nil"/>
              <w:right w:val="nil"/>
            </w:tcBorders>
            <w:shd w:val="clear" w:color="auto" w:fill="auto"/>
            <w:noWrap/>
            <w:vAlign w:val="bottom"/>
            <w:hideMark/>
          </w:tcPr>
          <w:p w14:paraId="0F7E4413" w14:textId="77777777" w:rsidR="004D0F38" w:rsidRPr="00C60C82" w:rsidRDefault="004D0F38" w:rsidP="0066796E">
            <w:pPr>
              <w:spacing w:line="240" w:lineRule="auto"/>
              <w:rPr>
                <w:rFonts w:ascii="Mute" w:hAnsi="Mute" w:cs="Calibri"/>
                <w:color w:val="000000"/>
                <w:sz w:val="20"/>
                <w:lang w:eastAsia="en-GB"/>
              </w:rPr>
            </w:pPr>
            <w:r w:rsidRPr="00C60C82">
              <w:rPr>
                <w:rFonts w:ascii="Mute" w:hAnsi="Mute" w:cs="Calibri"/>
                <w:color w:val="000000"/>
                <w:sz w:val="20"/>
                <w:lang w:eastAsia="en-GB"/>
              </w:rPr>
              <w:t>Aena S.M.E. S.A.</w:t>
            </w:r>
          </w:p>
        </w:tc>
        <w:tc>
          <w:tcPr>
            <w:tcW w:w="1286" w:type="dxa"/>
            <w:tcBorders>
              <w:top w:val="nil"/>
              <w:left w:val="nil"/>
              <w:bottom w:val="nil"/>
              <w:right w:val="nil"/>
            </w:tcBorders>
            <w:shd w:val="clear" w:color="auto" w:fill="auto"/>
            <w:noWrap/>
            <w:vAlign w:val="bottom"/>
            <w:hideMark/>
          </w:tcPr>
          <w:p w14:paraId="7A0646D2" w14:textId="77777777" w:rsidR="004D0F38" w:rsidRPr="00C60C82" w:rsidRDefault="004D0F38" w:rsidP="0066796E">
            <w:pPr>
              <w:spacing w:line="240" w:lineRule="auto"/>
              <w:rPr>
                <w:rFonts w:ascii="Mute" w:hAnsi="Mute" w:cs="Calibri"/>
                <w:color w:val="000000"/>
                <w:sz w:val="20"/>
                <w:lang w:eastAsia="en-GB"/>
              </w:rPr>
            </w:pPr>
            <w:r w:rsidRPr="00C60C82">
              <w:rPr>
                <w:rFonts w:ascii="Mute" w:hAnsi="Mute" w:cs="Calibri"/>
                <w:color w:val="000000"/>
                <w:sz w:val="20"/>
                <w:lang w:eastAsia="en-GB"/>
              </w:rPr>
              <w:t>Against</w:t>
            </w:r>
          </w:p>
        </w:tc>
      </w:tr>
      <w:tr w:rsidR="004D0F38" w:rsidRPr="00C60C82" w14:paraId="421BAF00" w14:textId="77777777" w:rsidTr="006A4307">
        <w:trPr>
          <w:trHeight w:val="261"/>
        </w:trPr>
        <w:tc>
          <w:tcPr>
            <w:tcW w:w="2924" w:type="dxa"/>
            <w:vMerge/>
            <w:tcBorders>
              <w:left w:val="nil"/>
              <w:right w:val="nil"/>
            </w:tcBorders>
            <w:vAlign w:val="center"/>
            <w:hideMark/>
          </w:tcPr>
          <w:p w14:paraId="3B4B48A2" w14:textId="77777777" w:rsidR="004D0F38" w:rsidRPr="00C60C82" w:rsidRDefault="004D0F38" w:rsidP="0066796E">
            <w:pPr>
              <w:spacing w:line="240" w:lineRule="auto"/>
              <w:rPr>
                <w:rFonts w:ascii="Mute" w:hAnsi="Mute" w:cs="Calibri"/>
                <w:b/>
                <w:bCs/>
                <w:color w:val="000000"/>
                <w:sz w:val="20"/>
                <w:lang w:eastAsia="en-GB"/>
              </w:rPr>
            </w:pPr>
          </w:p>
        </w:tc>
        <w:tc>
          <w:tcPr>
            <w:tcW w:w="8069" w:type="dxa"/>
            <w:tcBorders>
              <w:top w:val="nil"/>
              <w:left w:val="nil"/>
              <w:bottom w:val="nil"/>
              <w:right w:val="nil"/>
            </w:tcBorders>
            <w:shd w:val="clear" w:color="auto" w:fill="auto"/>
            <w:noWrap/>
            <w:vAlign w:val="bottom"/>
            <w:hideMark/>
          </w:tcPr>
          <w:p w14:paraId="522E36EF" w14:textId="77777777" w:rsidR="004D0F38" w:rsidRPr="00C60C82" w:rsidRDefault="004D0F38" w:rsidP="0066796E">
            <w:pPr>
              <w:spacing w:line="240" w:lineRule="auto"/>
              <w:rPr>
                <w:rFonts w:ascii="Mute" w:hAnsi="Mute" w:cs="Calibri"/>
                <w:color w:val="000000"/>
                <w:sz w:val="20"/>
                <w:lang w:eastAsia="en-GB"/>
              </w:rPr>
            </w:pPr>
            <w:r w:rsidRPr="00C60C82">
              <w:rPr>
                <w:rFonts w:ascii="Mute" w:hAnsi="Mute" w:cs="Calibri"/>
                <w:color w:val="000000"/>
                <w:sz w:val="20"/>
                <w:lang w:eastAsia="en-GB"/>
              </w:rPr>
              <w:t>Management Proposal Regarding Amendments to Articles (Sustainability and  Climate Action Committee)</w:t>
            </w:r>
          </w:p>
        </w:tc>
        <w:tc>
          <w:tcPr>
            <w:tcW w:w="2286" w:type="dxa"/>
            <w:tcBorders>
              <w:top w:val="nil"/>
              <w:left w:val="nil"/>
              <w:bottom w:val="nil"/>
              <w:right w:val="nil"/>
            </w:tcBorders>
            <w:shd w:val="clear" w:color="auto" w:fill="auto"/>
            <w:noWrap/>
            <w:vAlign w:val="bottom"/>
            <w:hideMark/>
          </w:tcPr>
          <w:p w14:paraId="51FE3E9F" w14:textId="77777777" w:rsidR="004D0F38" w:rsidRPr="00C60C82" w:rsidRDefault="004D0F38" w:rsidP="0066796E">
            <w:pPr>
              <w:spacing w:line="240" w:lineRule="auto"/>
              <w:rPr>
                <w:rFonts w:ascii="Mute" w:hAnsi="Mute" w:cs="Calibri"/>
                <w:color w:val="000000"/>
                <w:sz w:val="20"/>
                <w:lang w:eastAsia="en-GB"/>
              </w:rPr>
            </w:pPr>
            <w:r w:rsidRPr="00C60C82">
              <w:rPr>
                <w:rFonts w:ascii="Mute" w:hAnsi="Mute" w:cs="Calibri"/>
                <w:color w:val="000000"/>
                <w:sz w:val="20"/>
                <w:lang w:eastAsia="en-GB"/>
              </w:rPr>
              <w:t>Aena S.M.E. S.A.</w:t>
            </w:r>
          </w:p>
        </w:tc>
        <w:tc>
          <w:tcPr>
            <w:tcW w:w="1286" w:type="dxa"/>
            <w:tcBorders>
              <w:top w:val="nil"/>
              <w:left w:val="nil"/>
              <w:bottom w:val="nil"/>
              <w:right w:val="nil"/>
            </w:tcBorders>
            <w:shd w:val="clear" w:color="auto" w:fill="auto"/>
            <w:noWrap/>
            <w:vAlign w:val="bottom"/>
            <w:hideMark/>
          </w:tcPr>
          <w:p w14:paraId="21B544C3" w14:textId="77777777" w:rsidR="004D0F38" w:rsidRPr="00C60C82" w:rsidRDefault="004D0F38" w:rsidP="0066796E">
            <w:pPr>
              <w:spacing w:line="240" w:lineRule="auto"/>
              <w:rPr>
                <w:rFonts w:ascii="Mute" w:hAnsi="Mute" w:cs="Calibri"/>
                <w:color w:val="000000"/>
                <w:sz w:val="20"/>
                <w:lang w:eastAsia="en-GB"/>
              </w:rPr>
            </w:pPr>
            <w:r w:rsidRPr="00C60C82">
              <w:rPr>
                <w:rFonts w:ascii="Mute" w:hAnsi="Mute" w:cs="Calibri"/>
                <w:color w:val="000000"/>
                <w:sz w:val="20"/>
                <w:lang w:eastAsia="en-GB"/>
              </w:rPr>
              <w:t>For</w:t>
            </w:r>
          </w:p>
        </w:tc>
      </w:tr>
      <w:tr w:rsidR="004D0F38" w:rsidRPr="00C60C82" w14:paraId="510415A8" w14:textId="77777777" w:rsidTr="006A4307">
        <w:trPr>
          <w:trHeight w:val="261"/>
        </w:trPr>
        <w:tc>
          <w:tcPr>
            <w:tcW w:w="2924" w:type="dxa"/>
            <w:vMerge/>
            <w:tcBorders>
              <w:left w:val="nil"/>
              <w:bottom w:val="nil"/>
              <w:right w:val="nil"/>
            </w:tcBorders>
            <w:shd w:val="clear" w:color="auto" w:fill="auto"/>
            <w:noWrap/>
            <w:vAlign w:val="center"/>
            <w:hideMark/>
          </w:tcPr>
          <w:p w14:paraId="3B157BC0" w14:textId="77777777" w:rsidR="004D0F38" w:rsidRPr="00C60C82" w:rsidRDefault="004D0F38" w:rsidP="0066796E">
            <w:pPr>
              <w:spacing w:line="240" w:lineRule="auto"/>
              <w:rPr>
                <w:rFonts w:ascii="Mute" w:hAnsi="Mute" w:cs="Calibri"/>
                <w:color w:val="000000"/>
                <w:sz w:val="20"/>
                <w:lang w:eastAsia="en-GB"/>
              </w:rPr>
            </w:pPr>
          </w:p>
        </w:tc>
        <w:tc>
          <w:tcPr>
            <w:tcW w:w="8069" w:type="dxa"/>
            <w:tcBorders>
              <w:top w:val="nil"/>
              <w:left w:val="nil"/>
              <w:bottom w:val="nil"/>
              <w:right w:val="nil"/>
            </w:tcBorders>
            <w:shd w:val="clear" w:color="auto" w:fill="auto"/>
            <w:noWrap/>
            <w:vAlign w:val="bottom"/>
            <w:hideMark/>
          </w:tcPr>
          <w:p w14:paraId="42394C0B" w14:textId="77777777" w:rsidR="004D0F38" w:rsidRPr="00C60C82" w:rsidRDefault="004D0F38" w:rsidP="0066796E">
            <w:pPr>
              <w:spacing w:line="240" w:lineRule="auto"/>
              <w:rPr>
                <w:rFonts w:ascii="Mute" w:hAnsi="Mute" w:cs="Calibri"/>
                <w:color w:val="000000"/>
                <w:sz w:val="20"/>
                <w:lang w:eastAsia="en-GB"/>
              </w:rPr>
            </w:pPr>
            <w:r w:rsidRPr="00C60C82">
              <w:rPr>
                <w:rFonts w:ascii="Mute" w:hAnsi="Mute" w:cs="Calibri"/>
                <w:color w:val="000000"/>
                <w:sz w:val="20"/>
                <w:lang w:eastAsia="en-GB"/>
              </w:rPr>
              <w:t>Management Proposal Regarding Advisory Vote on Environmental Transition Plan</w:t>
            </w:r>
          </w:p>
        </w:tc>
        <w:tc>
          <w:tcPr>
            <w:tcW w:w="2286" w:type="dxa"/>
            <w:tcBorders>
              <w:top w:val="nil"/>
              <w:left w:val="nil"/>
              <w:bottom w:val="nil"/>
              <w:right w:val="nil"/>
            </w:tcBorders>
            <w:shd w:val="clear" w:color="auto" w:fill="auto"/>
            <w:noWrap/>
            <w:vAlign w:val="bottom"/>
            <w:hideMark/>
          </w:tcPr>
          <w:p w14:paraId="2B270CED" w14:textId="77777777" w:rsidR="004D0F38" w:rsidRPr="00C60C82" w:rsidRDefault="004D0F38" w:rsidP="0066796E">
            <w:pPr>
              <w:spacing w:line="240" w:lineRule="auto"/>
              <w:rPr>
                <w:rFonts w:ascii="Mute" w:hAnsi="Mute" w:cs="Calibri"/>
                <w:color w:val="000000"/>
                <w:sz w:val="20"/>
                <w:lang w:eastAsia="en-GB"/>
              </w:rPr>
            </w:pPr>
            <w:r w:rsidRPr="00C60C82">
              <w:rPr>
                <w:rFonts w:ascii="Mute" w:hAnsi="Mute" w:cs="Calibri"/>
                <w:color w:val="000000"/>
                <w:sz w:val="20"/>
                <w:lang w:eastAsia="en-GB"/>
              </w:rPr>
              <w:t>Vinci</w:t>
            </w:r>
          </w:p>
        </w:tc>
        <w:tc>
          <w:tcPr>
            <w:tcW w:w="1286" w:type="dxa"/>
            <w:tcBorders>
              <w:top w:val="nil"/>
              <w:left w:val="nil"/>
              <w:bottom w:val="nil"/>
              <w:right w:val="nil"/>
            </w:tcBorders>
            <w:shd w:val="clear" w:color="auto" w:fill="auto"/>
            <w:noWrap/>
            <w:vAlign w:val="bottom"/>
            <w:hideMark/>
          </w:tcPr>
          <w:p w14:paraId="1427AC27" w14:textId="77777777" w:rsidR="004D0F38" w:rsidRPr="00C60C82" w:rsidRDefault="004D0F38" w:rsidP="0066796E">
            <w:pPr>
              <w:spacing w:line="240" w:lineRule="auto"/>
              <w:rPr>
                <w:rFonts w:ascii="Mute" w:hAnsi="Mute" w:cs="Calibri"/>
                <w:color w:val="000000"/>
                <w:sz w:val="20"/>
                <w:lang w:eastAsia="en-GB"/>
              </w:rPr>
            </w:pPr>
            <w:r w:rsidRPr="00C60C82">
              <w:rPr>
                <w:rFonts w:ascii="Mute" w:hAnsi="Mute" w:cs="Calibri"/>
                <w:color w:val="000000"/>
                <w:sz w:val="20"/>
                <w:lang w:eastAsia="en-GB"/>
              </w:rPr>
              <w:t>For</w:t>
            </w:r>
          </w:p>
        </w:tc>
      </w:tr>
      <w:tr w:rsidR="004D0F38" w:rsidRPr="00C60C82" w14:paraId="4D8D1444" w14:textId="77777777" w:rsidTr="006A4307">
        <w:trPr>
          <w:trHeight w:val="261"/>
        </w:trPr>
        <w:tc>
          <w:tcPr>
            <w:tcW w:w="2924" w:type="dxa"/>
            <w:tcBorders>
              <w:top w:val="nil"/>
              <w:left w:val="nil"/>
              <w:bottom w:val="single" w:sz="4" w:space="0" w:color="00B0F0"/>
              <w:right w:val="nil"/>
            </w:tcBorders>
            <w:shd w:val="clear" w:color="auto" w:fill="auto"/>
            <w:noWrap/>
            <w:vAlign w:val="center"/>
            <w:hideMark/>
          </w:tcPr>
          <w:p w14:paraId="24BF9E6E" w14:textId="77777777" w:rsidR="004D0F38" w:rsidRPr="00C60C82" w:rsidRDefault="004D0F38" w:rsidP="0066796E">
            <w:pPr>
              <w:spacing w:line="240" w:lineRule="auto"/>
              <w:rPr>
                <w:rFonts w:ascii="Mute" w:hAnsi="Mute" w:cs="Calibri"/>
                <w:b/>
                <w:bCs/>
                <w:color w:val="000000"/>
                <w:sz w:val="20"/>
                <w:lang w:eastAsia="en-GB"/>
              </w:rPr>
            </w:pPr>
            <w:r w:rsidRPr="00C60C82">
              <w:rPr>
                <w:rFonts w:ascii="Mute" w:hAnsi="Mute" w:cs="Calibri"/>
                <w:b/>
                <w:bCs/>
                <w:color w:val="000000"/>
                <w:sz w:val="20"/>
                <w:lang w:eastAsia="en-GB"/>
              </w:rPr>
              <w:t> </w:t>
            </w:r>
          </w:p>
        </w:tc>
        <w:tc>
          <w:tcPr>
            <w:tcW w:w="8069" w:type="dxa"/>
            <w:tcBorders>
              <w:top w:val="nil"/>
              <w:left w:val="nil"/>
              <w:bottom w:val="single" w:sz="4" w:space="0" w:color="00B0F0"/>
              <w:right w:val="nil"/>
            </w:tcBorders>
            <w:shd w:val="clear" w:color="auto" w:fill="auto"/>
            <w:noWrap/>
            <w:vAlign w:val="bottom"/>
            <w:hideMark/>
          </w:tcPr>
          <w:p w14:paraId="662DB7FA" w14:textId="77777777" w:rsidR="004D0F38" w:rsidRPr="00C60C82" w:rsidRDefault="004D0F38" w:rsidP="0066796E">
            <w:pPr>
              <w:spacing w:line="240" w:lineRule="auto"/>
              <w:rPr>
                <w:rFonts w:ascii="Mute" w:hAnsi="Mute" w:cs="Calibri"/>
                <w:color w:val="000000"/>
                <w:sz w:val="20"/>
                <w:lang w:eastAsia="en-GB"/>
              </w:rPr>
            </w:pPr>
            <w:r w:rsidRPr="00C60C82">
              <w:rPr>
                <w:rFonts w:ascii="Mute" w:hAnsi="Mute" w:cs="Calibri"/>
                <w:color w:val="000000"/>
                <w:sz w:val="20"/>
                <w:lang w:eastAsia="en-GB"/>
              </w:rPr>
              <w:t> </w:t>
            </w:r>
          </w:p>
        </w:tc>
        <w:tc>
          <w:tcPr>
            <w:tcW w:w="2286" w:type="dxa"/>
            <w:tcBorders>
              <w:top w:val="nil"/>
              <w:left w:val="nil"/>
              <w:bottom w:val="single" w:sz="4" w:space="0" w:color="00B0F0"/>
              <w:right w:val="nil"/>
            </w:tcBorders>
            <w:shd w:val="clear" w:color="auto" w:fill="auto"/>
            <w:noWrap/>
            <w:vAlign w:val="bottom"/>
            <w:hideMark/>
          </w:tcPr>
          <w:p w14:paraId="02F7DFBF" w14:textId="77777777" w:rsidR="004D0F38" w:rsidRPr="00C60C82" w:rsidRDefault="004D0F38" w:rsidP="0066796E">
            <w:pPr>
              <w:spacing w:line="240" w:lineRule="auto"/>
              <w:rPr>
                <w:rFonts w:ascii="Mute" w:hAnsi="Mute" w:cs="Calibri"/>
                <w:color w:val="000000"/>
                <w:sz w:val="20"/>
                <w:lang w:eastAsia="en-GB"/>
              </w:rPr>
            </w:pPr>
            <w:r w:rsidRPr="00C60C82">
              <w:rPr>
                <w:rFonts w:ascii="Mute" w:hAnsi="Mute" w:cs="Calibri"/>
                <w:color w:val="000000"/>
                <w:sz w:val="20"/>
                <w:lang w:eastAsia="en-GB"/>
              </w:rPr>
              <w:t> </w:t>
            </w:r>
          </w:p>
        </w:tc>
        <w:tc>
          <w:tcPr>
            <w:tcW w:w="1286" w:type="dxa"/>
            <w:tcBorders>
              <w:top w:val="nil"/>
              <w:left w:val="nil"/>
              <w:bottom w:val="single" w:sz="4" w:space="0" w:color="00B0F0"/>
              <w:right w:val="nil"/>
            </w:tcBorders>
            <w:shd w:val="clear" w:color="auto" w:fill="auto"/>
            <w:noWrap/>
            <w:vAlign w:val="bottom"/>
            <w:hideMark/>
          </w:tcPr>
          <w:p w14:paraId="7A4F4167" w14:textId="77777777" w:rsidR="004D0F38" w:rsidRPr="00C60C82" w:rsidRDefault="004D0F38" w:rsidP="0066796E">
            <w:pPr>
              <w:spacing w:line="240" w:lineRule="auto"/>
              <w:rPr>
                <w:rFonts w:ascii="Mute" w:hAnsi="Mute" w:cs="Calibri"/>
                <w:color w:val="000000"/>
                <w:sz w:val="20"/>
                <w:lang w:eastAsia="en-GB"/>
              </w:rPr>
            </w:pPr>
            <w:r w:rsidRPr="00C60C82">
              <w:rPr>
                <w:rFonts w:ascii="Mute" w:hAnsi="Mute" w:cs="Calibri"/>
                <w:color w:val="000000"/>
                <w:sz w:val="20"/>
                <w:lang w:eastAsia="en-GB"/>
              </w:rPr>
              <w:t> </w:t>
            </w:r>
          </w:p>
        </w:tc>
      </w:tr>
      <w:tr w:rsidR="004D0F38" w:rsidRPr="00C60C82" w14:paraId="7CE856F0" w14:textId="77777777" w:rsidTr="006A4307">
        <w:trPr>
          <w:trHeight w:val="261"/>
        </w:trPr>
        <w:tc>
          <w:tcPr>
            <w:tcW w:w="2924" w:type="dxa"/>
            <w:vMerge w:val="restart"/>
            <w:tcBorders>
              <w:top w:val="nil"/>
              <w:left w:val="nil"/>
              <w:right w:val="nil"/>
            </w:tcBorders>
            <w:shd w:val="clear" w:color="auto" w:fill="auto"/>
            <w:vAlign w:val="center"/>
            <w:hideMark/>
          </w:tcPr>
          <w:p w14:paraId="384F4B3F" w14:textId="77777777" w:rsidR="004D0F38" w:rsidRPr="00C60C82" w:rsidRDefault="004D0F38" w:rsidP="0066796E">
            <w:pPr>
              <w:spacing w:line="240" w:lineRule="auto"/>
              <w:rPr>
                <w:rFonts w:ascii="Mute" w:hAnsi="Mute" w:cs="Calibri"/>
                <w:b/>
                <w:bCs/>
                <w:color w:val="000000"/>
                <w:sz w:val="20"/>
                <w:lang w:eastAsia="en-GB"/>
              </w:rPr>
            </w:pPr>
            <w:r w:rsidRPr="00C60C82">
              <w:rPr>
                <w:rFonts w:ascii="Mute" w:hAnsi="Mute" w:cs="Calibri"/>
                <w:b/>
                <w:bCs/>
                <w:color w:val="000000"/>
                <w:sz w:val="20"/>
                <w:lang w:eastAsia="en-GB"/>
              </w:rPr>
              <w:t>Mercer Global Small Cap Equity Fund</w:t>
            </w:r>
          </w:p>
        </w:tc>
        <w:tc>
          <w:tcPr>
            <w:tcW w:w="8069" w:type="dxa"/>
            <w:tcBorders>
              <w:top w:val="nil"/>
              <w:left w:val="nil"/>
              <w:bottom w:val="nil"/>
              <w:right w:val="nil"/>
            </w:tcBorders>
            <w:shd w:val="clear" w:color="auto" w:fill="auto"/>
            <w:noWrap/>
            <w:vAlign w:val="bottom"/>
            <w:hideMark/>
          </w:tcPr>
          <w:p w14:paraId="550681DB" w14:textId="77777777" w:rsidR="004D0F38" w:rsidRPr="00C60C82" w:rsidRDefault="004D0F38" w:rsidP="0066796E">
            <w:pPr>
              <w:spacing w:line="240" w:lineRule="auto"/>
              <w:rPr>
                <w:rFonts w:ascii="Mute" w:hAnsi="Mute" w:cs="Calibri"/>
                <w:color w:val="000000"/>
                <w:sz w:val="20"/>
                <w:lang w:eastAsia="en-GB"/>
              </w:rPr>
            </w:pPr>
            <w:r w:rsidRPr="00C60C82">
              <w:rPr>
                <w:rFonts w:ascii="Mute" w:hAnsi="Mute" w:cs="Calibri"/>
                <w:color w:val="000000"/>
                <w:sz w:val="20"/>
                <w:lang w:eastAsia="en-GB"/>
              </w:rPr>
              <w:t>Management Proposal Regarding Share Issuance Authority</w:t>
            </w:r>
          </w:p>
        </w:tc>
        <w:tc>
          <w:tcPr>
            <w:tcW w:w="2286" w:type="dxa"/>
            <w:tcBorders>
              <w:top w:val="nil"/>
              <w:left w:val="nil"/>
              <w:bottom w:val="nil"/>
              <w:right w:val="nil"/>
            </w:tcBorders>
            <w:shd w:val="clear" w:color="auto" w:fill="auto"/>
            <w:noWrap/>
            <w:vAlign w:val="bottom"/>
            <w:hideMark/>
          </w:tcPr>
          <w:p w14:paraId="75B0A3D2" w14:textId="77777777" w:rsidR="004D0F38" w:rsidRPr="00C60C82" w:rsidRDefault="004D0F38" w:rsidP="0066796E">
            <w:pPr>
              <w:spacing w:line="240" w:lineRule="auto"/>
              <w:rPr>
                <w:rFonts w:ascii="Mute" w:hAnsi="Mute" w:cs="Calibri"/>
                <w:color w:val="000000"/>
                <w:sz w:val="20"/>
                <w:lang w:eastAsia="en-GB"/>
              </w:rPr>
            </w:pPr>
            <w:r w:rsidRPr="00C60C82">
              <w:rPr>
                <w:rFonts w:ascii="Mute" w:hAnsi="Mute" w:cs="Calibri"/>
                <w:color w:val="000000"/>
                <w:sz w:val="20"/>
                <w:lang w:eastAsia="en-GB"/>
              </w:rPr>
              <w:t>ASR Nederland NV</w:t>
            </w:r>
          </w:p>
        </w:tc>
        <w:tc>
          <w:tcPr>
            <w:tcW w:w="1286" w:type="dxa"/>
            <w:tcBorders>
              <w:top w:val="nil"/>
              <w:left w:val="nil"/>
              <w:bottom w:val="nil"/>
              <w:right w:val="nil"/>
            </w:tcBorders>
            <w:shd w:val="clear" w:color="auto" w:fill="auto"/>
            <w:noWrap/>
            <w:vAlign w:val="bottom"/>
            <w:hideMark/>
          </w:tcPr>
          <w:p w14:paraId="14899365" w14:textId="77777777" w:rsidR="004D0F38" w:rsidRPr="00C60C82" w:rsidRDefault="004D0F38" w:rsidP="0066796E">
            <w:pPr>
              <w:spacing w:line="240" w:lineRule="auto"/>
              <w:rPr>
                <w:rFonts w:ascii="Mute" w:hAnsi="Mute" w:cs="Calibri"/>
                <w:color w:val="000000"/>
                <w:sz w:val="20"/>
                <w:lang w:eastAsia="en-GB"/>
              </w:rPr>
            </w:pPr>
            <w:r w:rsidRPr="00C60C82">
              <w:rPr>
                <w:rFonts w:ascii="Mute" w:hAnsi="Mute" w:cs="Calibri"/>
                <w:color w:val="000000"/>
                <w:sz w:val="20"/>
                <w:lang w:eastAsia="en-GB"/>
              </w:rPr>
              <w:t>For</w:t>
            </w:r>
          </w:p>
        </w:tc>
      </w:tr>
      <w:tr w:rsidR="004D0F38" w:rsidRPr="00C60C82" w14:paraId="49CB1BED" w14:textId="77777777" w:rsidTr="006A4307">
        <w:trPr>
          <w:trHeight w:val="261"/>
        </w:trPr>
        <w:tc>
          <w:tcPr>
            <w:tcW w:w="2924" w:type="dxa"/>
            <w:vMerge/>
            <w:tcBorders>
              <w:left w:val="nil"/>
              <w:right w:val="nil"/>
            </w:tcBorders>
            <w:vAlign w:val="center"/>
            <w:hideMark/>
          </w:tcPr>
          <w:p w14:paraId="785C3FCD" w14:textId="77777777" w:rsidR="004D0F38" w:rsidRPr="00C60C82" w:rsidRDefault="004D0F38" w:rsidP="0066796E">
            <w:pPr>
              <w:spacing w:line="240" w:lineRule="auto"/>
              <w:rPr>
                <w:rFonts w:ascii="Mute" w:hAnsi="Mute" w:cs="Calibri"/>
                <w:b/>
                <w:bCs/>
                <w:color w:val="000000"/>
                <w:sz w:val="20"/>
                <w:lang w:eastAsia="en-GB"/>
              </w:rPr>
            </w:pPr>
          </w:p>
        </w:tc>
        <w:tc>
          <w:tcPr>
            <w:tcW w:w="8069" w:type="dxa"/>
            <w:tcBorders>
              <w:top w:val="nil"/>
              <w:left w:val="nil"/>
              <w:bottom w:val="nil"/>
              <w:right w:val="nil"/>
            </w:tcBorders>
            <w:shd w:val="clear" w:color="auto" w:fill="auto"/>
            <w:noWrap/>
            <w:vAlign w:val="bottom"/>
            <w:hideMark/>
          </w:tcPr>
          <w:p w14:paraId="06089D2D" w14:textId="77777777" w:rsidR="004D0F38" w:rsidRPr="00C60C82" w:rsidRDefault="004D0F38" w:rsidP="0066796E">
            <w:pPr>
              <w:spacing w:line="240" w:lineRule="auto"/>
              <w:rPr>
                <w:rFonts w:ascii="Mute" w:hAnsi="Mute" w:cs="Calibri"/>
                <w:color w:val="000000"/>
                <w:sz w:val="20"/>
                <w:lang w:eastAsia="en-GB"/>
              </w:rPr>
            </w:pPr>
            <w:r w:rsidRPr="00C60C82">
              <w:rPr>
                <w:rFonts w:ascii="Mute" w:hAnsi="Mute" w:cs="Calibri"/>
                <w:color w:val="000000"/>
                <w:sz w:val="20"/>
                <w:lang w:eastAsia="en-GB"/>
              </w:rPr>
              <w:t>Management Proposal Regarding Election of Directors</w:t>
            </w:r>
          </w:p>
        </w:tc>
        <w:tc>
          <w:tcPr>
            <w:tcW w:w="2286" w:type="dxa"/>
            <w:tcBorders>
              <w:top w:val="nil"/>
              <w:left w:val="nil"/>
              <w:bottom w:val="nil"/>
              <w:right w:val="nil"/>
            </w:tcBorders>
            <w:shd w:val="clear" w:color="auto" w:fill="auto"/>
            <w:noWrap/>
            <w:vAlign w:val="bottom"/>
            <w:hideMark/>
          </w:tcPr>
          <w:p w14:paraId="13828B03" w14:textId="77777777" w:rsidR="004D0F38" w:rsidRPr="00C60C82" w:rsidRDefault="004D0F38" w:rsidP="0066796E">
            <w:pPr>
              <w:spacing w:line="240" w:lineRule="auto"/>
              <w:rPr>
                <w:rFonts w:ascii="Mute" w:hAnsi="Mute" w:cs="Calibri"/>
                <w:color w:val="000000"/>
                <w:sz w:val="20"/>
                <w:lang w:eastAsia="en-GB"/>
              </w:rPr>
            </w:pPr>
            <w:r w:rsidRPr="00C60C82">
              <w:rPr>
                <w:rFonts w:ascii="Mute" w:hAnsi="Mute" w:cs="Calibri"/>
                <w:color w:val="000000"/>
                <w:sz w:val="20"/>
                <w:lang w:eastAsia="en-GB"/>
              </w:rPr>
              <w:t>Brunswick Corp.</w:t>
            </w:r>
          </w:p>
        </w:tc>
        <w:tc>
          <w:tcPr>
            <w:tcW w:w="1286" w:type="dxa"/>
            <w:tcBorders>
              <w:top w:val="nil"/>
              <w:left w:val="nil"/>
              <w:bottom w:val="nil"/>
              <w:right w:val="nil"/>
            </w:tcBorders>
            <w:shd w:val="clear" w:color="auto" w:fill="auto"/>
            <w:noWrap/>
            <w:vAlign w:val="bottom"/>
            <w:hideMark/>
          </w:tcPr>
          <w:p w14:paraId="121BA665" w14:textId="77777777" w:rsidR="004D0F38" w:rsidRPr="00C60C82" w:rsidRDefault="004D0F38" w:rsidP="0066796E">
            <w:pPr>
              <w:spacing w:line="240" w:lineRule="auto"/>
              <w:rPr>
                <w:rFonts w:ascii="Mute" w:hAnsi="Mute" w:cs="Calibri"/>
                <w:color w:val="000000"/>
                <w:sz w:val="20"/>
                <w:lang w:eastAsia="en-GB"/>
              </w:rPr>
            </w:pPr>
            <w:r w:rsidRPr="00C60C82">
              <w:rPr>
                <w:rFonts w:ascii="Mute" w:hAnsi="Mute" w:cs="Calibri"/>
                <w:color w:val="000000"/>
                <w:sz w:val="20"/>
                <w:lang w:eastAsia="en-GB"/>
              </w:rPr>
              <w:t>For</w:t>
            </w:r>
          </w:p>
        </w:tc>
      </w:tr>
      <w:tr w:rsidR="004D0F38" w:rsidRPr="00C60C82" w14:paraId="4145451B" w14:textId="77777777" w:rsidTr="006A4307">
        <w:trPr>
          <w:trHeight w:val="261"/>
        </w:trPr>
        <w:tc>
          <w:tcPr>
            <w:tcW w:w="2924" w:type="dxa"/>
            <w:vMerge/>
            <w:tcBorders>
              <w:left w:val="nil"/>
              <w:bottom w:val="nil"/>
              <w:right w:val="nil"/>
            </w:tcBorders>
            <w:shd w:val="clear" w:color="auto" w:fill="auto"/>
            <w:noWrap/>
            <w:vAlign w:val="center"/>
            <w:hideMark/>
          </w:tcPr>
          <w:p w14:paraId="0FFB2586" w14:textId="77777777" w:rsidR="004D0F38" w:rsidRPr="00C60C82" w:rsidRDefault="004D0F38" w:rsidP="0066796E">
            <w:pPr>
              <w:spacing w:line="240" w:lineRule="auto"/>
              <w:rPr>
                <w:rFonts w:ascii="Mute" w:hAnsi="Mute" w:cs="Calibri"/>
                <w:color w:val="000000"/>
                <w:sz w:val="20"/>
                <w:lang w:eastAsia="en-GB"/>
              </w:rPr>
            </w:pPr>
          </w:p>
        </w:tc>
        <w:tc>
          <w:tcPr>
            <w:tcW w:w="8069" w:type="dxa"/>
            <w:tcBorders>
              <w:top w:val="nil"/>
              <w:left w:val="nil"/>
              <w:bottom w:val="nil"/>
              <w:right w:val="nil"/>
            </w:tcBorders>
            <w:shd w:val="clear" w:color="auto" w:fill="auto"/>
            <w:noWrap/>
            <w:vAlign w:val="bottom"/>
            <w:hideMark/>
          </w:tcPr>
          <w:p w14:paraId="30DB31AA" w14:textId="77777777" w:rsidR="004D0F38" w:rsidRPr="00C60C82" w:rsidRDefault="004D0F38" w:rsidP="0066796E">
            <w:pPr>
              <w:spacing w:line="240" w:lineRule="auto"/>
              <w:rPr>
                <w:rFonts w:ascii="Mute" w:hAnsi="Mute" w:cs="Calibri"/>
                <w:color w:val="000000"/>
                <w:sz w:val="20"/>
                <w:lang w:eastAsia="en-GB"/>
              </w:rPr>
            </w:pPr>
            <w:r w:rsidRPr="00C60C82">
              <w:rPr>
                <w:rFonts w:ascii="Mute" w:hAnsi="Mute" w:cs="Calibri"/>
                <w:color w:val="000000"/>
                <w:sz w:val="20"/>
                <w:lang w:eastAsia="en-GB"/>
              </w:rPr>
              <w:t>Management Proposal Regarding Election of Directors</w:t>
            </w:r>
          </w:p>
        </w:tc>
        <w:tc>
          <w:tcPr>
            <w:tcW w:w="2286" w:type="dxa"/>
            <w:tcBorders>
              <w:top w:val="nil"/>
              <w:left w:val="nil"/>
              <w:bottom w:val="nil"/>
              <w:right w:val="nil"/>
            </w:tcBorders>
            <w:shd w:val="clear" w:color="auto" w:fill="auto"/>
            <w:noWrap/>
            <w:vAlign w:val="bottom"/>
            <w:hideMark/>
          </w:tcPr>
          <w:p w14:paraId="640D1222" w14:textId="77777777" w:rsidR="004D0F38" w:rsidRPr="00C60C82" w:rsidRDefault="004D0F38" w:rsidP="0066796E">
            <w:pPr>
              <w:spacing w:line="240" w:lineRule="auto"/>
              <w:rPr>
                <w:rFonts w:ascii="Mute" w:hAnsi="Mute" w:cs="Calibri"/>
                <w:color w:val="000000"/>
                <w:sz w:val="20"/>
                <w:lang w:eastAsia="en-GB"/>
              </w:rPr>
            </w:pPr>
            <w:r w:rsidRPr="00C60C82">
              <w:rPr>
                <w:rFonts w:ascii="Mute" w:hAnsi="Mute" w:cs="Calibri"/>
                <w:color w:val="000000"/>
                <w:sz w:val="20"/>
                <w:lang w:eastAsia="en-GB"/>
              </w:rPr>
              <w:t>West Fraser Timber Co.</w:t>
            </w:r>
          </w:p>
        </w:tc>
        <w:tc>
          <w:tcPr>
            <w:tcW w:w="1286" w:type="dxa"/>
            <w:tcBorders>
              <w:top w:val="nil"/>
              <w:left w:val="nil"/>
              <w:bottom w:val="nil"/>
              <w:right w:val="nil"/>
            </w:tcBorders>
            <w:shd w:val="clear" w:color="auto" w:fill="auto"/>
            <w:noWrap/>
            <w:vAlign w:val="bottom"/>
            <w:hideMark/>
          </w:tcPr>
          <w:p w14:paraId="647D9836" w14:textId="77777777" w:rsidR="004D0F38" w:rsidRPr="00C60C82" w:rsidRDefault="004D0F38" w:rsidP="0066796E">
            <w:pPr>
              <w:spacing w:line="240" w:lineRule="auto"/>
              <w:rPr>
                <w:rFonts w:ascii="Mute" w:hAnsi="Mute" w:cs="Calibri"/>
                <w:color w:val="000000"/>
                <w:sz w:val="20"/>
                <w:lang w:eastAsia="en-GB"/>
              </w:rPr>
            </w:pPr>
            <w:r w:rsidRPr="00C60C82">
              <w:rPr>
                <w:rFonts w:ascii="Mute" w:hAnsi="Mute" w:cs="Calibri"/>
                <w:color w:val="000000"/>
                <w:sz w:val="20"/>
                <w:lang w:eastAsia="en-GB"/>
              </w:rPr>
              <w:t>For</w:t>
            </w:r>
          </w:p>
        </w:tc>
      </w:tr>
      <w:tr w:rsidR="004D0F38" w:rsidRPr="00C60C82" w14:paraId="52C1B2CC" w14:textId="77777777" w:rsidTr="006A4307">
        <w:trPr>
          <w:trHeight w:val="261"/>
        </w:trPr>
        <w:tc>
          <w:tcPr>
            <w:tcW w:w="2924" w:type="dxa"/>
            <w:tcBorders>
              <w:top w:val="nil"/>
              <w:left w:val="nil"/>
              <w:bottom w:val="single" w:sz="4" w:space="0" w:color="00B0F0"/>
              <w:right w:val="nil"/>
            </w:tcBorders>
            <w:shd w:val="clear" w:color="auto" w:fill="auto"/>
            <w:noWrap/>
            <w:vAlign w:val="center"/>
            <w:hideMark/>
          </w:tcPr>
          <w:p w14:paraId="1978EF75" w14:textId="77777777" w:rsidR="004D0F38" w:rsidRPr="00C60C82" w:rsidRDefault="004D0F38" w:rsidP="0066796E">
            <w:pPr>
              <w:spacing w:line="240" w:lineRule="auto"/>
              <w:rPr>
                <w:rFonts w:ascii="Mute" w:hAnsi="Mute" w:cs="Calibri"/>
                <w:b/>
                <w:bCs/>
                <w:color w:val="000000"/>
                <w:sz w:val="20"/>
                <w:lang w:eastAsia="en-GB"/>
              </w:rPr>
            </w:pPr>
            <w:r w:rsidRPr="00C60C82">
              <w:rPr>
                <w:rFonts w:ascii="Mute" w:hAnsi="Mute" w:cs="Calibri"/>
                <w:b/>
                <w:bCs/>
                <w:color w:val="000000"/>
                <w:sz w:val="20"/>
                <w:lang w:eastAsia="en-GB"/>
              </w:rPr>
              <w:t> </w:t>
            </w:r>
          </w:p>
        </w:tc>
        <w:tc>
          <w:tcPr>
            <w:tcW w:w="8069" w:type="dxa"/>
            <w:tcBorders>
              <w:top w:val="nil"/>
              <w:left w:val="nil"/>
              <w:bottom w:val="single" w:sz="4" w:space="0" w:color="00B0F0"/>
              <w:right w:val="nil"/>
            </w:tcBorders>
            <w:shd w:val="clear" w:color="auto" w:fill="auto"/>
            <w:noWrap/>
            <w:vAlign w:val="bottom"/>
            <w:hideMark/>
          </w:tcPr>
          <w:p w14:paraId="4F871C64" w14:textId="77777777" w:rsidR="004D0F38" w:rsidRPr="00C60C82" w:rsidRDefault="004D0F38" w:rsidP="0066796E">
            <w:pPr>
              <w:spacing w:line="240" w:lineRule="auto"/>
              <w:rPr>
                <w:rFonts w:ascii="Mute" w:hAnsi="Mute" w:cs="Calibri"/>
                <w:color w:val="000000"/>
                <w:sz w:val="20"/>
                <w:lang w:eastAsia="en-GB"/>
              </w:rPr>
            </w:pPr>
            <w:r w:rsidRPr="00C60C82">
              <w:rPr>
                <w:rFonts w:ascii="Mute" w:hAnsi="Mute" w:cs="Calibri"/>
                <w:color w:val="000000"/>
                <w:sz w:val="20"/>
                <w:lang w:eastAsia="en-GB"/>
              </w:rPr>
              <w:t> </w:t>
            </w:r>
          </w:p>
        </w:tc>
        <w:tc>
          <w:tcPr>
            <w:tcW w:w="2286" w:type="dxa"/>
            <w:tcBorders>
              <w:top w:val="nil"/>
              <w:left w:val="nil"/>
              <w:bottom w:val="single" w:sz="4" w:space="0" w:color="00B0F0"/>
              <w:right w:val="nil"/>
            </w:tcBorders>
            <w:shd w:val="clear" w:color="auto" w:fill="auto"/>
            <w:noWrap/>
            <w:vAlign w:val="bottom"/>
            <w:hideMark/>
          </w:tcPr>
          <w:p w14:paraId="0D590DB6" w14:textId="77777777" w:rsidR="004D0F38" w:rsidRPr="00C60C82" w:rsidRDefault="004D0F38" w:rsidP="0066796E">
            <w:pPr>
              <w:spacing w:line="240" w:lineRule="auto"/>
              <w:rPr>
                <w:rFonts w:ascii="Mute" w:hAnsi="Mute" w:cs="Calibri"/>
                <w:color w:val="000000"/>
                <w:sz w:val="20"/>
                <w:lang w:eastAsia="en-GB"/>
              </w:rPr>
            </w:pPr>
            <w:r w:rsidRPr="00C60C82">
              <w:rPr>
                <w:rFonts w:ascii="Mute" w:hAnsi="Mute" w:cs="Calibri"/>
                <w:color w:val="000000"/>
                <w:sz w:val="20"/>
                <w:lang w:eastAsia="en-GB"/>
              </w:rPr>
              <w:t> </w:t>
            </w:r>
          </w:p>
        </w:tc>
        <w:tc>
          <w:tcPr>
            <w:tcW w:w="1286" w:type="dxa"/>
            <w:tcBorders>
              <w:top w:val="nil"/>
              <w:left w:val="nil"/>
              <w:bottom w:val="single" w:sz="4" w:space="0" w:color="00B0F0"/>
              <w:right w:val="nil"/>
            </w:tcBorders>
            <w:shd w:val="clear" w:color="auto" w:fill="auto"/>
            <w:noWrap/>
            <w:vAlign w:val="bottom"/>
            <w:hideMark/>
          </w:tcPr>
          <w:p w14:paraId="2C6FA961" w14:textId="77777777" w:rsidR="004D0F38" w:rsidRPr="00C60C82" w:rsidRDefault="004D0F38" w:rsidP="0066796E">
            <w:pPr>
              <w:spacing w:line="240" w:lineRule="auto"/>
              <w:rPr>
                <w:rFonts w:ascii="Mute" w:hAnsi="Mute" w:cs="Calibri"/>
                <w:color w:val="000000"/>
                <w:sz w:val="20"/>
                <w:lang w:eastAsia="en-GB"/>
              </w:rPr>
            </w:pPr>
            <w:r w:rsidRPr="00C60C82">
              <w:rPr>
                <w:rFonts w:ascii="Mute" w:hAnsi="Mute" w:cs="Calibri"/>
                <w:color w:val="000000"/>
                <w:sz w:val="20"/>
                <w:lang w:eastAsia="en-GB"/>
              </w:rPr>
              <w:t> </w:t>
            </w:r>
          </w:p>
        </w:tc>
      </w:tr>
      <w:tr w:rsidR="004D0F38" w:rsidRPr="00C60C82" w14:paraId="781D0FFB" w14:textId="77777777" w:rsidTr="006A4307">
        <w:trPr>
          <w:trHeight w:val="261"/>
        </w:trPr>
        <w:tc>
          <w:tcPr>
            <w:tcW w:w="2924" w:type="dxa"/>
            <w:vMerge w:val="restart"/>
            <w:tcBorders>
              <w:top w:val="nil"/>
              <w:left w:val="nil"/>
              <w:right w:val="nil"/>
            </w:tcBorders>
            <w:shd w:val="clear" w:color="auto" w:fill="auto"/>
            <w:noWrap/>
            <w:vAlign w:val="center"/>
            <w:hideMark/>
          </w:tcPr>
          <w:p w14:paraId="6BF51DAA" w14:textId="77777777" w:rsidR="004D0F38" w:rsidRPr="00C60C82" w:rsidRDefault="004D0F38" w:rsidP="0066796E">
            <w:pPr>
              <w:spacing w:line="240" w:lineRule="auto"/>
              <w:rPr>
                <w:rFonts w:ascii="Mute" w:hAnsi="Mute" w:cs="Calibri"/>
                <w:b/>
                <w:bCs/>
                <w:color w:val="000000"/>
                <w:sz w:val="20"/>
                <w:lang w:eastAsia="en-GB"/>
              </w:rPr>
            </w:pPr>
            <w:r w:rsidRPr="00C60C82">
              <w:rPr>
                <w:rFonts w:ascii="Mute" w:hAnsi="Mute" w:cs="Calibri"/>
                <w:b/>
                <w:bCs/>
                <w:color w:val="000000"/>
                <w:sz w:val="20"/>
                <w:lang w:eastAsia="en-GB"/>
              </w:rPr>
              <w:t>Mercer Low Volatility Equity Fund</w:t>
            </w:r>
          </w:p>
        </w:tc>
        <w:tc>
          <w:tcPr>
            <w:tcW w:w="8069" w:type="dxa"/>
            <w:tcBorders>
              <w:top w:val="nil"/>
              <w:left w:val="nil"/>
              <w:bottom w:val="nil"/>
              <w:right w:val="nil"/>
            </w:tcBorders>
            <w:shd w:val="clear" w:color="auto" w:fill="auto"/>
            <w:noWrap/>
            <w:vAlign w:val="bottom"/>
            <w:hideMark/>
          </w:tcPr>
          <w:p w14:paraId="357FEFA1" w14:textId="77777777" w:rsidR="004D0F38" w:rsidRPr="00C60C82" w:rsidRDefault="004D0F38" w:rsidP="0066796E">
            <w:pPr>
              <w:spacing w:line="240" w:lineRule="auto"/>
              <w:rPr>
                <w:rFonts w:ascii="Mute" w:hAnsi="Mute" w:cs="Calibri"/>
                <w:sz w:val="20"/>
                <w:lang w:eastAsia="en-GB"/>
              </w:rPr>
            </w:pPr>
            <w:r w:rsidRPr="00C60C82">
              <w:rPr>
                <w:rFonts w:ascii="Mute" w:hAnsi="Mute" w:cs="Calibri"/>
                <w:sz w:val="20"/>
                <w:lang w:eastAsia="en-GB"/>
              </w:rPr>
              <w:t>Shareholder Proposal Regarding Human Rights/Civil Rights Expertise on Board</w:t>
            </w:r>
          </w:p>
        </w:tc>
        <w:tc>
          <w:tcPr>
            <w:tcW w:w="2286" w:type="dxa"/>
            <w:tcBorders>
              <w:top w:val="nil"/>
              <w:left w:val="nil"/>
              <w:bottom w:val="nil"/>
              <w:right w:val="nil"/>
            </w:tcBorders>
            <w:shd w:val="clear" w:color="auto" w:fill="auto"/>
            <w:noWrap/>
            <w:vAlign w:val="bottom"/>
            <w:hideMark/>
          </w:tcPr>
          <w:p w14:paraId="0818CA7C" w14:textId="77777777" w:rsidR="004D0F38" w:rsidRPr="00C60C82" w:rsidRDefault="004D0F38" w:rsidP="0066796E">
            <w:pPr>
              <w:spacing w:line="240" w:lineRule="auto"/>
              <w:rPr>
                <w:rFonts w:ascii="Mute" w:hAnsi="Mute" w:cs="Calibri"/>
                <w:sz w:val="20"/>
                <w:lang w:eastAsia="en-GB"/>
              </w:rPr>
            </w:pPr>
            <w:r w:rsidRPr="00C60C82">
              <w:rPr>
                <w:rFonts w:ascii="Mute" w:hAnsi="Mute" w:cs="Calibri"/>
                <w:sz w:val="20"/>
                <w:lang w:eastAsia="en-GB"/>
              </w:rPr>
              <w:t>Alphabet Inc</w:t>
            </w:r>
          </w:p>
        </w:tc>
        <w:tc>
          <w:tcPr>
            <w:tcW w:w="1286" w:type="dxa"/>
            <w:tcBorders>
              <w:top w:val="nil"/>
              <w:left w:val="nil"/>
              <w:bottom w:val="nil"/>
              <w:right w:val="nil"/>
            </w:tcBorders>
            <w:shd w:val="clear" w:color="auto" w:fill="auto"/>
            <w:noWrap/>
            <w:vAlign w:val="bottom"/>
            <w:hideMark/>
          </w:tcPr>
          <w:p w14:paraId="3A1CA61A" w14:textId="77777777" w:rsidR="004D0F38" w:rsidRPr="00C60C82" w:rsidRDefault="004D0F38" w:rsidP="0066796E">
            <w:pPr>
              <w:spacing w:line="240" w:lineRule="auto"/>
              <w:rPr>
                <w:rFonts w:ascii="Mute" w:hAnsi="Mute" w:cs="Calibri"/>
                <w:sz w:val="20"/>
                <w:lang w:eastAsia="en-GB"/>
              </w:rPr>
            </w:pPr>
            <w:r w:rsidRPr="00C60C82">
              <w:rPr>
                <w:rFonts w:ascii="Mute" w:hAnsi="Mute" w:cs="Calibri"/>
                <w:sz w:val="20"/>
                <w:lang w:eastAsia="en-GB"/>
              </w:rPr>
              <w:t>Mixed*</w:t>
            </w:r>
          </w:p>
        </w:tc>
      </w:tr>
      <w:tr w:rsidR="004D0F38" w:rsidRPr="00C60C82" w14:paraId="2BA0A65E" w14:textId="77777777" w:rsidTr="006A4307">
        <w:trPr>
          <w:trHeight w:val="261"/>
        </w:trPr>
        <w:tc>
          <w:tcPr>
            <w:tcW w:w="2924" w:type="dxa"/>
            <w:vMerge/>
            <w:tcBorders>
              <w:left w:val="nil"/>
              <w:right w:val="nil"/>
            </w:tcBorders>
            <w:shd w:val="clear" w:color="auto" w:fill="auto"/>
            <w:noWrap/>
            <w:vAlign w:val="center"/>
            <w:hideMark/>
          </w:tcPr>
          <w:p w14:paraId="0DFAF68A" w14:textId="77777777" w:rsidR="004D0F38" w:rsidRPr="00C60C82" w:rsidRDefault="004D0F38" w:rsidP="0066796E">
            <w:pPr>
              <w:spacing w:line="240" w:lineRule="auto"/>
              <w:rPr>
                <w:rFonts w:ascii="Mute" w:hAnsi="Mute" w:cs="Calibri"/>
                <w:color w:val="FF0000"/>
                <w:sz w:val="20"/>
                <w:lang w:eastAsia="en-GB"/>
              </w:rPr>
            </w:pPr>
          </w:p>
        </w:tc>
        <w:tc>
          <w:tcPr>
            <w:tcW w:w="8069" w:type="dxa"/>
            <w:tcBorders>
              <w:top w:val="nil"/>
              <w:left w:val="nil"/>
              <w:bottom w:val="nil"/>
              <w:right w:val="nil"/>
            </w:tcBorders>
            <w:shd w:val="clear" w:color="auto" w:fill="auto"/>
            <w:noWrap/>
            <w:vAlign w:val="bottom"/>
            <w:hideMark/>
          </w:tcPr>
          <w:p w14:paraId="6FD0C467" w14:textId="77777777" w:rsidR="004D0F38" w:rsidRPr="00C60C82" w:rsidRDefault="004D0F38" w:rsidP="0066796E">
            <w:pPr>
              <w:spacing w:line="240" w:lineRule="auto"/>
              <w:rPr>
                <w:rFonts w:ascii="Mute" w:hAnsi="Mute" w:cs="Calibri"/>
                <w:sz w:val="20"/>
                <w:lang w:eastAsia="en-GB"/>
              </w:rPr>
            </w:pPr>
            <w:r w:rsidRPr="00C60C82">
              <w:rPr>
                <w:rFonts w:ascii="Mute" w:hAnsi="Mute" w:cs="Calibri"/>
                <w:sz w:val="20"/>
                <w:lang w:eastAsia="en-GB"/>
              </w:rPr>
              <w:t>Shareholder Proposal Regarding Linking Executive Pay to Sustainability and Diversity</w:t>
            </w:r>
          </w:p>
        </w:tc>
        <w:tc>
          <w:tcPr>
            <w:tcW w:w="2286" w:type="dxa"/>
            <w:tcBorders>
              <w:top w:val="nil"/>
              <w:left w:val="nil"/>
              <w:bottom w:val="nil"/>
              <w:right w:val="nil"/>
            </w:tcBorders>
            <w:shd w:val="clear" w:color="auto" w:fill="auto"/>
            <w:noWrap/>
            <w:vAlign w:val="bottom"/>
            <w:hideMark/>
          </w:tcPr>
          <w:p w14:paraId="370B8D11" w14:textId="77777777" w:rsidR="004D0F38" w:rsidRPr="00C60C82" w:rsidRDefault="004D0F38" w:rsidP="0066796E">
            <w:pPr>
              <w:spacing w:line="240" w:lineRule="auto"/>
              <w:rPr>
                <w:rFonts w:ascii="Mute" w:hAnsi="Mute" w:cs="Calibri"/>
                <w:sz w:val="20"/>
                <w:lang w:eastAsia="en-GB"/>
              </w:rPr>
            </w:pPr>
            <w:r w:rsidRPr="00C60C82">
              <w:rPr>
                <w:rFonts w:ascii="Mute" w:hAnsi="Mute" w:cs="Calibri"/>
                <w:sz w:val="20"/>
                <w:lang w:eastAsia="en-GB"/>
              </w:rPr>
              <w:t>Alphabet Inc</w:t>
            </w:r>
          </w:p>
        </w:tc>
        <w:tc>
          <w:tcPr>
            <w:tcW w:w="1286" w:type="dxa"/>
            <w:tcBorders>
              <w:top w:val="nil"/>
              <w:left w:val="nil"/>
              <w:bottom w:val="nil"/>
              <w:right w:val="nil"/>
            </w:tcBorders>
            <w:shd w:val="clear" w:color="auto" w:fill="auto"/>
            <w:noWrap/>
            <w:vAlign w:val="bottom"/>
            <w:hideMark/>
          </w:tcPr>
          <w:p w14:paraId="512FA383" w14:textId="77777777" w:rsidR="004D0F38" w:rsidRPr="00C60C82" w:rsidRDefault="004D0F38" w:rsidP="0066796E">
            <w:pPr>
              <w:spacing w:line="240" w:lineRule="auto"/>
              <w:rPr>
                <w:rFonts w:ascii="Mute" w:hAnsi="Mute" w:cs="Calibri"/>
                <w:sz w:val="20"/>
                <w:lang w:eastAsia="en-GB"/>
              </w:rPr>
            </w:pPr>
            <w:r w:rsidRPr="00C60C82">
              <w:rPr>
                <w:rFonts w:ascii="Mute" w:hAnsi="Mute" w:cs="Calibri"/>
                <w:sz w:val="20"/>
                <w:lang w:eastAsia="en-GB"/>
              </w:rPr>
              <w:t>Mixed*</w:t>
            </w:r>
          </w:p>
        </w:tc>
      </w:tr>
      <w:tr w:rsidR="004D0F38" w:rsidRPr="00C60C82" w14:paraId="709DD8E7" w14:textId="77777777" w:rsidTr="006A4307">
        <w:trPr>
          <w:trHeight w:val="261"/>
        </w:trPr>
        <w:tc>
          <w:tcPr>
            <w:tcW w:w="2924" w:type="dxa"/>
            <w:vMerge/>
            <w:tcBorders>
              <w:left w:val="nil"/>
              <w:bottom w:val="nil"/>
              <w:right w:val="nil"/>
            </w:tcBorders>
            <w:shd w:val="clear" w:color="auto" w:fill="auto"/>
            <w:noWrap/>
            <w:vAlign w:val="center"/>
            <w:hideMark/>
          </w:tcPr>
          <w:p w14:paraId="4D1B2C74" w14:textId="77777777" w:rsidR="004D0F38" w:rsidRPr="00C60C82" w:rsidRDefault="004D0F38" w:rsidP="0066796E">
            <w:pPr>
              <w:spacing w:line="240" w:lineRule="auto"/>
              <w:rPr>
                <w:rFonts w:ascii="Mute" w:hAnsi="Mute" w:cs="Calibri"/>
                <w:color w:val="FF0000"/>
                <w:sz w:val="20"/>
                <w:lang w:eastAsia="en-GB"/>
              </w:rPr>
            </w:pPr>
          </w:p>
        </w:tc>
        <w:tc>
          <w:tcPr>
            <w:tcW w:w="8069" w:type="dxa"/>
            <w:tcBorders>
              <w:top w:val="nil"/>
              <w:left w:val="nil"/>
              <w:bottom w:val="nil"/>
              <w:right w:val="nil"/>
            </w:tcBorders>
            <w:shd w:val="clear" w:color="auto" w:fill="auto"/>
            <w:noWrap/>
            <w:vAlign w:val="bottom"/>
            <w:hideMark/>
          </w:tcPr>
          <w:p w14:paraId="268542D9" w14:textId="77777777" w:rsidR="004D0F38" w:rsidRPr="00C60C82" w:rsidRDefault="004D0F38" w:rsidP="0066796E">
            <w:pPr>
              <w:spacing w:line="240" w:lineRule="auto"/>
              <w:rPr>
                <w:rFonts w:ascii="Mute" w:hAnsi="Mute" w:cstheme="minorHAnsi"/>
                <w:sz w:val="20"/>
                <w:lang w:eastAsia="en-GB"/>
              </w:rPr>
            </w:pPr>
            <w:r w:rsidRPr="00C60C82">
              <w:rPr>
                <w:rFonts w:ascii="Mute" w:hAnsi="Mute" w:cstheme="minorHAnsi"/>
                <w:sz w:val="20"/>
                <w:lang w:eastAsia="en-GB"/>
              </w:rPr>
              <w:t>Shareholder Proposal Regarding Median Gender and Racial Pay Equity Report</w:t>
            </w:r>
          </w:p>
        </w:tc>
        <w:tc>
          <w:tcPr>
            <w:tcW w:w="2286" w:type="dxa"/>
            <w:tcBorders>
              <w:top w:val="nil"/>
              <w:left w:val="nil"/>
              <w:bottom w:val="nil"/>
              <w:right w:val="nil"/>
            </w:tcBorders>
            <w:shd w:val="clear" w:color="auto" w:fill="auto"/>
            <w:noWrap/>
            <w:vAlign w:val="bottom"/>
            <w:hideMark/>
          </w:tcPr>
          <w:p w14:paraId="6162371A" w14:textId="77777777" w:rsidR="004D0F38" w:rsidRPr="00C60C82" w:rsidRDefault="004D0F38" w:rsidP="0066796E">
            <w:pPr>
              <w:spacing w:line="240" w:lineRule="auto"/>
              <w:rPr>
                <w:rFonts w:ascii="Mute" w:hAnsi="Mute" w:cstheme="minorHAnsi"/>
                <w:sz w:val="20"/>
                <w:lang w:eastAsia="en-GB"/>
              </w:rPr>
            </w:pPr>
            <w:r w:rsidRPr="00C60C82">
              <w:rPr>
                <w:rFonts w:ascii="Mute" w:hAnsi="Mute" w:cstheme="minorHAnsi"/>
                <w:sz w:val="20"/>
                <w:lang w:eastAsia="en-GB"/>
              </w:rPr>
              <w:t>Microsoft Corp</w:t>
            </w:r>
          </w:p>
        </w:tc>
        <w:tc>
          <w:tcPr>
            <w:tcW w:w="1286" w:type="dxa"/>
            <w:tcBorders>
              <w:top w:val="nil"/>
              <w:left w:val="nil"/>
              <w:bottom w:val="nil"/>
              <w:right w:val="nil"/>
            </w:tcBorders>
            <w:shd w:val="clear" w:color="auto" w:fill="auto"/>
            <w:noWrap/>
            <w:vAlign w:val="bottom"/>
            <w:hideMark/>
          </w:tcPr>
          <w:p w14:paraId="0FE8CA19" w14:textId="77777777" w:rsidR="004D0F38" w:rsidRPr="00C60C82" w:rsidRDefault="004D0F38" w:rsidP="0066796E">
            <w:pPr>
              <w:spacing w:line="240" w:lineRule="auto"/>
              <w:rPr>
                <w:rFonts w:ascii="Mute" w:hAnsi="Mute" w:cstheme="minorHAnsi"/>
                <w:sz w:val="20"/>
                <w:lang w:eastAsia="en-GB"/>
              </w:rPr>
            </w:pPr>
            <w:r w:rsidRPr="00C60C82">
              <w:rPr>
                <w:rFonts w:ascii="Mute" w:hAnsi="Mute" w:cstheme="minorHAnsi"/>
                <w:sz w:val="20"/>
                <w:lang w:eastAsia="en-GB"/>
              </w:rPr>
              <w:t>Against</w:t>
            </w:r>
          </w:p>
        </w:tc>
      </w:tr>
      <w:tr w:rsidR="004D0F38" w:rsidRPr="00C60C82" w14:paraId="7C79463A" w14:textId="77777777" w:rsidTr="006A4307">
        <w:trPr>
          <w:trHeight w:val="261"/>
        </w:trPr>
        <w:tc>
          <w:tcPr>
            <w:tcW w:w="2924" w:type="dxa"/>
            <w:tcBorders>
              <w:top w:val="nil"/>
              <w:left w:val="nil"/>
              <w:bottom w:val="nil"/>
              <w:right w:val="nil"/>
            </w:tcBorders>
            <w:shd w:val="clear" w:color="auto" w:fill="auto"/>
            <w:noWrap/>
            <w:vAlign w:val="center"/>
            <w:hideMark/>
          </w:tcPr>
          <w:p w14:paraId="7296FC1E" w14:textId="77777777" w:rsidR="004D0F38" w:rsidRPr="00C60C82" w:rsidRDefault="004D0F38" w:rsidP="0066796E">
            <w:pPr>
              <w:spacing w:line="240" w:lineRule="auto"/>
              <w:rPr>
                <w:rFonts w:ascii="Mute" w:hAnsi="Mute" w:cs="Calibri"/>
                <w:color w:val="FF0000"/>
                <w:sz w:val="20"/>
                <w:lang w:eastAsia="en-GB"/>
              </w:rPr>
            </w:pPr>
          </w:p>
        </w:tc>
        <w:tc>
          <w:tcPr>
            <w:tcW w:w="11642" w:type="dxa"/>
            <w:gridSpan w:val="3"/>
            <w:tcBorders>
              <w:top w:val="nil"/>
              <w:left w:val="nil"/>
              <w:bottom w:val="nil"/>
              <w:right w:val="nil"/>
            </w:tcBorders>
            <w:shd w:val="clear" w:color="auto" w:fill="auto"/>
            <w:noWrap/>
            <w:vAlign w:val="bottom"/>
            <w:hideMark/>
          </w:tcPr>
          <w:p w14:paraId="255301D0" w14:textId="77777777" w:rsidR="004D0F38" w:rsidRPr="00C60C82" w:rsidRDefault="004D0F38" w:rsidP="0066796E">
            <w:pPr>
              <w:spacing w:line="240" w:lineRule="auto"/>
              <w:rPr>
                <w:rFonts w:ascii="Mute" w:hAnsi="Mute" w:cstheme="minorHAnsi"/>
                <w:i/>
                <w:sz w:val="20"/>
                <w:lang w:eastAsia="en-GB"/>
              </w:rPr>
            </w:pPr>
            <w:r w:rsidRPr="00C60C82">
              <w:rPr>
                <w:rFonts w:ascii="Mute" w:hAnsi="Mute" w:cstheme="minorHAnsi"/>
                <w:i/>
                <w:sz w:val="20"/>
                <w:lang w:eastAsia="en-GB"/>
              </w:rPr>
              <w:t>*This mixed decision was the result of 1 manager voting “against”, and 3 managers voting “for” the proposal.</w:t>
            </w:r>
          </w:p>
        </w:tc>
      </w:tr>
      <w:tr w:rsidR="004D0F38" w:rsidRPr="00C60C82" w14:paraId="77680DF1" w14:textId="77777777" w:rsidTr="006A4307">
        <w:trPr>
          <w:trHeight w:val="261"/>
        </w:trPr>
        <w:tc>
          <w:tcPr>
            <w:tcW w:w="2924" w:type="dxa"/>
            <w:vMerge w:val="restart"/>
            <w:tcBorders>
              <w:top w:val="single" w:sz="4" w:space="0" w:color="00B0F0"/>
              <w:left w:val="nil"/>
              <w:right w:val="nil"/>
            </w:tcBorders>
            <w:shd w:val="clear" w:color="auto" w:fill="auto"/>
            <w:noWrap/>
            <w:vAlign w:val="center"/>
            <w:hideMark/>
          </w:tcPr>
          <w:p w14:paraId="13CB32BC" w14:textId="77777777" w:rsidR="006A4307" w:rsidRDefault="006A4307" w:rsidP="0066796E">
            <w:pPr>
              <w:spacing w:line="240" w:lineRule="auto"/>
              <w:rPr>
                <w:rFonts w:ascii="Mute" w:hAnsi="Mute" w:cs="Calibri"/>
                <w:b/>
                <w:bCs/>
                <w:color w:val="000000"/>
                <w:sz w:val="20"/>
                <w:lang w:eastAsia="en-GB"/>
              </w:rPr>
            </w:pPr>
          </w:p>
          <w:p w14:paraId="53880BB7" w14:textId="5387977B" w:rsidR="004D0F38" w:rsidRPr="00C60C82" w:rsidRDefault="004D0F38" w:rsidP="0066796E">
            <w:pPr>
              <w:spacing w:line="240" w:lineRule="auto"/>
              <w:rPr>
                <w:rFonts w:ascii="Mute" w:hAnsi="Mute" w:cs="Calibri"/>
                <w:b/>
                <w:bCs/>
                <w:color w:val="000000"/>
                <w:sz w:val="20"/>
                <w:lang w:eastAsia="en-GB"/>
              </w:rPr>
            </w:pPr>
            <w:r w:rsidRPr="00C60C82">
              <w:rPr>
                <w:rFonts w:ascii="Mute" w:hAnsi="Mute" w:cs="Calibri"/>
                <w:b/>
                <w:bCs/>
                <w:color w:val="000000"/>
                <w:sz w:val="20"/>
                <w:lang w:eastAsia="en-GB"/>
              </w:rPr>
              <w:t>Mercer Multi-Asset Credit Fund</w:t>
            </w:r>
          </w:p>
        </w:tc>
        <w:tc>
          <w:tcPr>
            <w:tcW w:w="8069" w:type="dxa"/>
            <w:tcBorders>
              <w:top w:val="single" w:sz="4" w:space="0" w:color="00B0F0"/>
              <w:left w:val="nil"/>
              <w:bottom w:val="nil"/>
              <w:right w:val="nil"/>
            </w:tcBorders>
            <w:shd w:val="clear" w:color="auto" w:fill="auto"/>
            <w:noWrap/>
            <w:vAlign w:val="bottom"/>
            <w:hideMark/>
          </w:tcPr>
          <w:p w14:paraId="6A5D56E3" w14:textId="77777777" w:rsidR="006A4307" w:rsidRDefault="006A4307" w:rsidP="0066796E">
            <w:pPr>
              <w:spacing w:line="240" w:lineRule="auto"/>
              <w:rPr>
                <w:rFonts w:ascii="Mute" w:hAnsi="Mute" w:cs="Calibri"/>
                <w:color w:val="000000"/>
                <w:sz w:val="20"/>
                <w:lang w:eastAsia="en-GB"/>
              </w:rPr>
            </w:pPr>
          </w:p>
          <w:p w14:paraId="25365402" w14:textId="75662318" w:rsidR="004D0F38" w:rsidRPr="00C60C82" w:rsidRDefault="004D0F38" w:rsidP="0066796E">
            <w:pPr>
              <w:spacing w:line="240" w:lineRule="auto"/>
              <w:rPr>
                <w:rFonts w:ascii="Mute" w:hAnsi="Mute" w:cs="Calibri"/>
                <w:color w:val="000000"/>
                <w:sz w:val="20"/>
                <w:lang w:eastAsia="en-GB"/>
              </w:rPr>
            </w:pPr>
            <w:r w:rsidRPr="00C60C82">
              <w:rPr>
                <w:rFonts w:ascii="Mute" w:hAnsi="Mute" w:cs="Calibri"/>
                <w:color w:val="000000"/>
                <w:sz w:val="20"/>
                <w:lang w:eastAsia="en-GB"/>
              </w:rPr>
              <w:t>Shareholder Proposal Regarding Proxy Access Bylaw Amendment</w:t>
            </w:r>
          </w:p>
        </w:tc>
        <w:tc>
          <w:tcPr>
            <w:tcW w:w="2286" w:type="dxa"/>
            <w:tcBorders>
              <w:top w:val="single" w:sz="4" w:space="0" w:color="00B0F0"/>
              <w:left w:val="nil"/>
              <w:bottom w:val="nil"/>
              <w:right w:val="nil"/>
            </w:tcBorders>
            <w:shd w:val="clear" w:color="auto" w:fill="auto"/>
            <w:noWrap/>
            <w:vAlign w:val="bottom"/>
            <w:hideMark/>
          </w:tcPr>
          <w:p w14:paraId="09C20102" w14:textId="77777777" w:rsidR="006A4307" w:rsidRDefault="006A4307" w:rsidP="0066796E">
            <w:pPr>
              <w:spacing w:line="240" w:lineRule="auto"/>
              <w:rPr>
                <w:rFonts w:ascii="Mute" w:hAnsi="Mute" w:cs="Calibri"/>
                <w:color w:val="000000"/>
                <w:sz w:val="20"/>
                <w:lang w:eastAsia="en-GB"/>
              </w:rPr>
            </w:pPr>
          </w:p>
          <w:p w14:paraId="3041931D" w14:textId="19DB3662" w:rsidR="004D0F38" w:rsidRPr="00C60C82" w:rsidRDefault="004D0F38" w:rsidP="0066796E">
            <w:pPr>
              <w:spacing w:line="240" w:lineRule="auto"/>
              <w:rPr>
                <w:rFonts w:ascii="Mute" w:hAnsi="Mute" w:cs="Calibri"/>
                <w:color w:val="000000"/>
                <w:sz w:val="20"/>
                <w:lang w:eastAsia="en-GB"/>
              </w:rPr>
            </w:pPr>
            <w:r w:rsidRPr="00C60C82">
              <w:rPr>
                <w:rFonts w:ascii="Mute" w:hAnsi="Mute" w:cs="Calibri"/>
                <w:color w:val="000000"/>
                <w:sz w:val="20"/>
                <w:lang w:eastAsia="en-GB"/>
              </w:rPr>
              <w:t>Nisource Inc. (Holding Co)</w:t>
            </w:r>
          </w:p>
        </w:tc>
        <w:tc>
          <w:tcPr>
            <w:tcW w:w="1286" w:type="dxa"/>
            <w:tcBorders>
              <w:top w:val="single" w:sz="4" w:space="0" w:color="00B0F0"/>
              <w:left w:val="nil"/>
              <w:bottom w:val="nil"/>
              <w:right w:val="nil"/>
            </w:tcBorders>
            <w:shd w:val="clear" w:color="auto" w:fill="auto"/>
            <w:noWrap/>
            <w:vAlign w:val="bottom"/>
            <w:hideMark/>
          </w:tcPr>
          <w:p w14:paraId="5EB596D3" w14:textId="77777777" w:rsidR="004D0F38" w:rsidRPr="00C60C82" w:rsidRDefault="004D0F38" w:rsidP="0066796E">
            <w:pPr>
              <w:spacing w:line="240" w:lineRule="auto"/>
              <w:rPr>
                <w:rFonts w:ascii="Mute" w:hAnsi="Mute" w:cs="Calibri"/>
                <w:color w:val="000000"/>
                <w:sz w:val="20"/>
                <w:lang w:eastAsia="en-GB"/>
              </w:rPr>
            </w:pPr>
            <w:r w:rsidRPr="00C60C82">
              <w:rPr>
                <w:rFonts w:ascii="Mute" w:hAnsi="Mute" w:cs="Calibri"/>
                <w:color w:val="000000"/>
                <w:sz w:val="20"/>
                <w:lang w:eastAsia="en-GB"/>
              </w:rPr>
              <w:t>For</w:t>
            </w:r>
          </w:p>
        </w:tc>
      </w:tr>
      <w:tr w:rsidR="004D0F38" w:rsidRPr="00C60C82" w14:paraId="3FDE379D" w14:textId="77777777" w:rsidTr="006A4307">
        <w:trPr>
          <w:trHeight w:val="261"/>
        </w:trPr>
        <w:tc>
          <w:tcPr>
            <w:tcW w:w="2924" w:type="dxa"/>
            <w:vMerge/>
            <w:tcBorders>
              <w:left w:val="nil"/>
              <w:bottom w:val="nil"/>
              <w:right w:val="nil"/>
            </w:tcBorders>
            <w:shd w:val="clear" w:color="auto" w:fill="auto"/>
            <w:noWrap/>
            <w:vAlign w:val="bottom"/>
            <w:hideMark/>
          </w:tcPr>
          <w:p w14:paraId="6DEBC8F7" w14:textId="77777777" w:rsidR="004D0F38" w:rsidRPr="00C60C82" w:rsidRDefault="004D0F38" w:rsidP="0066796E">
            <w:pPr>
              <w:spacing w:line="240" w:lineRule="auto"/>
              <w:rPr>
                <w:rFonts w:ascii="Mute" w:hAnsi="Mute" w:cs="Calibri"/>
                <w:color w:val="000000"/>
                <w:sz w:val="20"/>
                <w:lang w:eastAsia="en-GB"/>
              </w:rPr>
            </w:pPr>
          </w:p>
        </w:tc>
        <w:tc>
          <w:tcPr>
            <w:tcW w:w="8069" w:type="dxa"/>
            <w:tcBorders>
              <w:top w:val="nil"/>
              <w:left w:val="nil"/>
              <w:bottom w:val="nil"/>
              <w:right w:val="nil"/>
            </w:tcBorders>
            <w:shd w:val="clear" w:color="auto" w:fill="auto"/>
            <w:noWrap/>
            <w:vAlign w:val="bottom"/>
            <w:hideMark/>
          </w:tcPr>
          <w:p w14:paraId="098993A9" w14:textId="77777777" w:rsidR="004D0F38" w:rsidRPr="00C60C82" w:rsidRDefault="004D0F38" w:rsidP="0066796E">
            <w:pPr>
              <w:spacing w:line="240" w:lineRule="auto"/>
              <w:rPr>
                <w:rFonts w:ascii="Mute" w:hAnsi="Mute" w:cs="Calibri"/>
                <w:color w:val="000000"/>
                <w:sz w:val="20"/>
                <w:lang w:eastAsia="en-GB"/>
              </w:rPr>
            </w:pPr>
            <w:r w:rsidRPr="00C60C82">
              <w:rPr>
                <w:rFonts w:ascii="Mute" w:hAnsi="Mute" w:cs="Calibri"/>
                <w:color w:val="000000"/>
                <w:sz w:val="20"/>
                <w:lang w:eastAsia="en-GB"/>
              </w:rPr>
              <w:t>Management Proposal Regarding Election of Directors</w:t>
            </w:r>
          </w:p>
        </w:tc>
        <w:tc>
          <w:tcPr>
            <w:tcW w:w="2286" w:type="dxa"/>
            <w:tcBorders>
              <w:top w:val="nil"/>
              <w:left w:val="nil"/>
              <w:bottom w:val="nil"/>
              <w:right w:val="nil"/>
            </w:tcBorders>
            <w:shd w:val="clear" w:color="auto" w:fill="auto"/>
            <w:noWrap/>
            <w:vAlign w:val="bottom"/>
            <w:hideMark/>
          </w:tcPr>
          <w:p w14:paraId="7DF26B78" w14:textId="77777777" w:rsidR="004D0F38" w:rsidRPr="00C60C82" w:rsidRDefault="004D0F38" w:rsidP="0066796E">
            <w:pPr>
              <w:spacing w:line="240" w:lineRule="auto"/>
              <w:rPr>
                <w:rFonts w:ascii="Mute" w:hAnsi="Mute" w:cs="Calibri"/>
                <w:color w:val="000000"/>
                <w:sz w:val="20"/>
                <w:lang w:eastAsia="en-GB"/>
              </w:rPr>
            </w:pPr>
            <w:r w:rsidRPr="00C60C82">
              <w:rPr>
                <w:rFonts w:ascii="Mute" w:hAnsi="Mute" w:cs="Calibri"/>
                <w:color w:val="000000"/>
                <w:sz w:val="20"/>
                <w:lang w:eastAsia="en-GB"/>
              </w:rPr>
              <w:t>Nisource Inc. (Holding Co)</w:t>
            </w:r>
          </w:p>
        </w:tc>
        <w:tc>
          <w:tcPr>
            <w:tcW w:w="1286" w:type="dxa"/>
            <w:tcBorders>
              <w:top w:val="nil"/>
              <w:left w:val="nil"/>
              <w:bottom w:val="nil"/>
              <w:right w:val="nil"/>
            </w:tcBorders>
            <w:shd w:val="clear" w:color="auto" w:fill="auto"/>
            <w:noWrap/>
            <w:vAlign w:val="bottom"/>
            <w:hideMark/>
          </w:tcPr>
          <w:p w14:paraId="5811D9D2" w14:textId="77777777" w:rsidR="004D0F38" w:rsidRPr="00C60C82" w:rsidRDefault="004D0F38" w:rsidP="0066796E">
            <w:pPr>
              <w:spacing w:line="240" w:lineRule="auto"/>
              <w:rPr>
                <w:rFonts w:ascii="Mute" w:hAnsi="Mute" w:cs="Calibri"/>
                <w:color w:val="000000"/>
                <w:sz w:val="20"/>
                <w:lang w:eastAsia="en-GB"/>
              </w:rPr>
            </w:pPr>
            <w:r w:rsidRPr="00C60C82">
              <w:rPr>
                <w:rFonts w:ascii="Mute" w:hAnsi="Mute" w:cs="Calibri"/>
                <w:color w:val="000000"/>
                <w:sz w:val="20"/>
                <w:lang w:eastAsia="en-GB"/>
              </w:rPr>
              <w:t>For</w:t>
            </w:r>
          </w:p>
        </w:tc>
      </w:tr>
    </w:tbl>
    <w:p w14:paraId="3E0638B2" w14:textId="0FB9E374" w:rsidR="001D24B6" w:rsidRPr="00C60C82" w:rsidRDefault="001D24B6" w:rsidP="0066796E">
      <w:pPr>
        <w:rPr>
          <w:rFonts w:ascii="Mute" w:hAnsi="Mute"/>
          <w:sz w:val="20"/>
          <w:lang w:eastAsia="en-GB"/>
        </w:rPr>
      </w:pPr>
    </w:p>
    <w:tbl>
      <w:tblPr>
        <w:tblW w:w="28284" w:type="dxa"/>
        <w:tblLook w:val="04A0" w:firstRow="1" w:lastRow="0" w:firstColumn="1" w:lastColumn="0" w:noHBand="0" w:noVBand="1"/>
      </w:tblPr>
      <w:tblGrid>
        <w:gridCol w:w="15675"/>
        <w:gridCol w:w="8895"/>
        <w:gridCol w:w="2417"/>
        <w:gridCol w:w="1297"/>
      </w:tblGrid>
      <w:tr w:rsidR="001D24B6" w:rsidRPr="00C60C82" w14:paraId="36994E03" w14:textId="77777777" w:rsidTr="0066796E">
        <w:trPr>
          <w:trHeight w:val="335"/>
        </w:trPr>
        <w:tc>
          <w:tcPr>
            <w:tcW w:w="15675" w:type="dxa"/>
            <w:tcBorders>
              <w:top w:val="nil"/>
              <w:left w:val="nil"/>
              <w:bottom w:val="nil"/>
              <w:right w:val="nil"/>
            </w:tcBorders>
            <w:shd w:val="clear" w:color="auto" w:fill="auto"/>
            <w:noWrap/>
            <w:vAlign w:val="bottom"/>
            <w:hideMark/>
          </w:tcPr>
          <w:p w14:paraId="78649672" w14:textId="77777777" w:rsidR="001D24B6" w:rsidRPr="00C60C82" w:rsidRDefault="001D24B6" w:rsidP="001D24B6">
            <w:pPr>
              <w:pStyle w:val="ListBullet"/>
              <w:numPr>
                <w:ilvl w:val="0"/>
                <w:numId w:val="0"/>
              </w:numPr>
              <w:ind w:left="360" w:hanging="360"/>
              <w:rPr>
                <w:rFonts w:ascii="Mute" w:hAnsi="Mute"/>
                <w:noProof/>
                <w:sz w:val="20"/>
                <w:lang w:eastAsia="en-GB"/>
              </w:rPr>
            </w:pPr>
          </w:p>
          <w:tbl>
            <w:tblPr>
              <w:tblW w:w="14354" w:type="dxa"/>
              <w:tblLook w:val="04A0" w:firstRow="1" w:lastRow="0" w:firstColumn="1" w:lastColumn="0" w:noHBand="0" w:noVBand="1"/>
            </w:tblPr>
            <w:tblGrid>
              <w:gridCol w:w="2598"/>
              <w:gridCol w:w="8212"/>
              <w:gridCol w:w="2268"/>
              <w:gridCol w:w="1276"/>
            </w:tblGrid>
            <w:tr w:rsidR="00C60C82" w:rsidRPr="00C60C82" w14:paraId="3F178BA0" w14:textId="77777777" w:rsidTr="006A4307">
              <w:trPr>
                <w:trHeight w:val="79"/>
              </w:trPr>
              <w:tc>
                <w:tcPr>
                  <w:tcW w:w="2598" w:type="dxa"/>
                  <w:tcBorders>
                    <w:top w:val="nil"/>
                    <w:left w:val="nil"/>
                    <w:bottom w:val="nil"/>
                    <w:right w:val="nil"/>
                  </w:tcBorders>
                  <w:shd w:val="clear" w:color="auto" w:fill="auto"/>
                  <w:noWrap/>
                  <w:vAlign w:val="center"/>
                </w:tcPr>
                <w:p w14:paraId="29DCF2F3" w14:textId="77777777" w:rsidR="001D24B6" w:rsidRPr="00C60C82" w:rsidRDefault="001D24B6" w:rsidP="001D24B6">
                  <w:pPr>
                    <w:spacing w:line="240" w:lineRule="auto"/>
                    <w:rPr>
                      <w:rFonts w:ascii="Mute" w:hAnsi="Mute" w:cs="Calibri"/>
                      <w:color w:val="000000"/>
                      <w:sz w:val="20"/>
                      <w:lang w:eastAsia="en-GB"/>
                    </w:rPr>
                  </w:pPr>
                </w:p>
              </w:tc>
              <w:tc>
                <w:tcPr>
                  <w:tcW w:w="8212" w:type="dxa"/>
                  <w:tcBorders>
                    <w:top w:val="nil"/>
                    <w:left w:val="nil"/>
                    <w:bottom w:val="nil"/>
                    <w:right w:val="nil"/>
                  </w:tcBorders>
                  <w:shd w:val="clear" w:color="auto" w:fill="auto"/>
                  <w:noWrap/>
                  <w:vAlign w:val="bottom"/>
                </w:tcPr>
                <w:p w14:paraId="1C61140B" w14:textId="77777777" w:rsidR="001D24B6" w:rsidRPr="00C60C82" w:rsidRDefault="001D24B6" w:rsidP="001D24B6">
                  <w:pPr>
                    <w:spacing w:line="240" w:lineRule="auto"/>
                    <w:rPr>
                      <w:rFonts w:ascii="Mute" w:hAnsi="Mute" w:cs="Times New Roman"/>
                      <w:sz w:val="20"/>
                      <w:lang w:eastAsia="en-GB"/>
                    </w:rPr>
                  </w:pPr>
                </w:p>
              </w:tc>
              <w:tc>
                <w:tcPr>
                  <w:tcW w:w="2268" w:type="dxa"/>
                  <w:tcBorders>
                    <w:top w:val="nil"/>
                    <w:left w:val="nil"/>
                    <w:bottom w:val="nil"/>
                    <w:right w:val="nil"/>
                  </w:tcBorders>
                  <w:shd w:val="clear" w:color="auto" w:fill="auto"/>
                  <w:noWrap/>
                  <w:vAlign w:val="bottom"/>
                </w:tcPr>
                <w:p w14:paraId="534AB393" w14:textId="77777777" w:rsidR="001D24B6" w:rsidRPr="00C60C82" w:rsidRDefault="001D24B6" w:rsidP="001D24B6">
                  <w:pPr>
                    <w:spacing w:line="240" w:lineRule="auto"/>
                    <w:rPr>
                      <w:rFonts w:ascii="Mute" w:hAnsi="Mute" w:cs="Times New Roman"/>
                      <w:sz w:val="20"/>
                      <w:lang w:eastAsia="en-GB"/>
                    </w:rPr>
                  </w:pPr>
                </w:p>
              </w:tc>
              <w:tc>
                <w:tcPr>
                  <w:tcW w:w="1276" w:type="dxa"/>
                  <w:tcBorders>
                    <w:top w:val="nil"/>
                    <w:left w:val="nil"/>
                    <w:bottom w:val="nil"/>
                    <w:right w:val="nil"/>
                  </w:tcBorders>
                  <w:shd w:val="clear" w:color="auto" w:fill="auto"/>
                  <w:noWrap/>
                  <w:vAlign w:val="bottom"/>
                </w:tcPr>
                <w:p w14:paraId="73D7F67A" w14:textId="77777777" w:rsidR="001D24B6" w:rsidRPr="00C60C82" w:rsidRDefault="001D24B6" w:rsidP="001D24B6">
                  <w:pPr>
                    <w:spacing w:line="240" w:lineRule="auto"/>
                    <w:rPr>
                      <w:rFonts w:ascii="Mute" w:hAnsi="Mute" w:cs="Times New Roman"/>
                      <w:sz w:val="20"/>
                      <w:lang w:eastAsia="en-GB"/>
                    </w:rPr>
                  </w:pPr>
                </w:p>
              </w:tc>
            </w:tr>
            <w:tr w:rsidR="00C60C82" w:rsidRPr="00C60C82" w14:paraId="1C4F39BB" w14:textId="77777777" w:rsidTr="00C60C82">
              <w:trPr>
                <w:trHeight w:val="286"/>
              </w:trPr>
              <w:tc>
                <w:tcPr>
                  <w:tcW w:w="2598" w:type="dxa"/>
                  <w:vMerge w:val="restart"/>
                  <w:tcBorders>
                    <w:top w:val="single" w:sz="4" w:space="0" w:color="00B0F0"/>
                    <w:left w:val="nil"/>
                    <w:right w:val="nil"/>
                  </w:tcBorders>
                  <w:shd w:val="clear" w:color="auto" w:fill="auto"/>
                  <w:vAlign w:val="center"/>
                  <w:hideMark/>
                </w:tcPr>
                <w:p w14:paraId="051FFA15" w14:textId="77777777" w:rsidR="001D24B6" w:rsidRPr="00C60C82" w:rsidRDefault="001D24B6" w:rsidP="001D24B6">
                  <w:pPr>
                    <w:spacing w:line="240" w:lineRule="auto"/>
                    <w:rPr>
                      <w:rFonts w:ascii="Mute" w:hAnsi="Mute" w:cs="Calibri"/>
                      <w:b/>
                      <w:bCs/>
                      <w:color w:val="000000"/>
                      <w:sz w:val="20"/>
                      <w:lang w:eastAsia="en-GB"/>
                    </w:rPr>
                  </w:pPr>
                  <w:r w:rsidRPr="00C60C82">
                    <w:rPr>
                      <w:rFonts w:ascii="Mute" w:hAnsi="Mute" w:cs="Calibri"/>
                      <w:b/>
                      <w:bCs/>
                      <w:color w:val="000000"/>
                      <w:sz w:val="20"/>
                      <w:lang w:eastAsia="en-GB"/>
                    </w:rPr>
                    <w:t>Mercer Sustainable Global Equity Fund</w:t>
                  </w:r>
                </w:p>
              </w:tc>
              <w:tc>
                <w:tcPr>
                  <w:tcW w:w="8212" w:type="dxa"/>
                  <w:tcBorders>
                    <w:top w:val="single" w:sz="4" w:space="0" w:color="00B0F0"/>
                    <w:left w:val="nil"/>
                    <w:bottom w:val="nil"/>
                    <w:right w:val="nil"/>
                  </w:tcBorders>
                  <w:shd w:val="clear" w:color="auto" w:fill="auto"/>
                  <w:noWrap/>
                  <w:vAlign w:val="bottom"/>
                  <w:hideMark/>
                </w:tcPr>
                <w:p w14:paraId="36C998D3" w14:textId="77777777" w:rsidR="001D24B6" w:rsidRPr="00C60C82" w:rsidRDefault="001D24B6" w:rsidP="001D24B6">
                  <w:pPr>
                    <w:spacing w:line="240" w:lineRule="auto"/>
                    <w:rPr>
                      <w:rFonts w:ascii="Mute" w:hAnsi="Mute" w:cs="Calibri"/>
                      <w:color w:val="000000"/>
                      <w:sz w:val="20"/>
                      <w:lang w:eastAsia="en-GB"/>
                    </w:rPr>
                  </w:pPr>
                  <w:r w:rsidRPr="00C60C82">
                    <w:rPr>
                      <w:rFonts w:ascii="Mute" w:hAnsi="Mute" w:cs="Calibri"/>
                      <w:color w:val="000000"/>
                      <w:sz w:val="20"/>
                      <w:lang w:eastAsia="en-GB"/>
                    </w:rPr>
                    <w:t>Shareholder Proposal Regarding Median Gender and Racial Pay Equity Report</w:t>
                  </w:r>
                </w:p>
              </w:tc>
              <w:tc>
                <w:tcPr>
                  <w:tcW w:w="2268" w:type="dxa"/>
                  <w:tcBorders>
                    <w:top w:val="single" w:sz="4" w:space="0" w:color="00B0F0"/>
                    <w:left w:val="nil"/>
                    <w:bottom w:val="nil"/>
                    <w:right w:val="nil"/>
                  </w:tcBorders>
                  <w:shd w:val="clear" w:color="auto" w:fill="auto"/>
                  <w:noWrap/>
                  <w:vAlign w:val="bottom"/>
                  <w:hideMark/>
                </w:tcPr>
                <w:p w14:paraId="6EF89C09" w14:textId="77777777" w:rsidR="001D24B6" w:rsidRPr="00C60C82" w:rsidRDefault="001D24B6" w:rsidP="001D24B6">
                  <w:pPr>
                    <w:spacing w:line="240" w:lineRule="auto"/>
                    <w:rPr>
                      <w:rFonts w:ascii="Mute" w:hAnsi="Mute" w:cs="Calibri"/>
                      <w:color w:val="000000"/>
                      <w:sz w:val="20"/>
                      <w:lang w:eastAsia="en-GB"/>
                    </w:rPr>
                  </w:pPr>
                  <w:r w:rsidRPr="00C60C82">
                    <w:rPr>
                      <w:rFonts w:ascii="Mute" w:hAnsi="Mute" w:cs="Calibri"/>
                      <w:color w:val="000000"/>
                      <w:sz w:val="20"/>
                      <w:lang w:eastAsia="en-GB"/>
                    </w:rPr>
                    <w:t>Microsoft Corporation</w:t>
                  </w:r>
                </w:p>
              </w:tc>
              <w:tc>
                <w:tcPr>
                  <w:tcW w:w="1276" w:type="dxa"/>
                  <w:tcBorders>
                    <w:top w:val="single" w:sz="4" w:space="0" w:color="00B0F0"/>
                    <w:left w:val="nil"/>
                    <w:bottom w:val="nil"/>
                    <w:right w:val="nil"/>
                  </w:tcBorders>
                  <w:shd w:val="clear" w:color="auto" w:fill="auto"/>
                  <w:noWrap/>
                  <w:vAlign w:val="bottom"/>
                  <w:hideMark/>
                </w:tcPr>
                <w:p w14:paraId="5286E6C0" w14:textId="77777777" w:rsidR="001D24B6" w:rsidRPr="00C60C82" w:rsidRDefault="001D24B6" w:rsidP="001D24B6">
                  <w:pPr>
                    <w:spacing w:line="240" w:lineRule="auto"/>
                    <w:rPr>
                      <w:rFonts w:ascii="Mute" w:hAnsi="Mute" w:cs="Calibri"/>
                      <w:sz w:val="20"/>
                      <w:lang w:eastAsia="en-GB"/>
                    </w:rPr>
                  </w:pPr>
                  <w:r w:rsidRPr="00C60C82">
                    <w:rPr>
                      <w:rFonts w:ascii="Mute" w:hAnsi="Mute" w:cs="Calibri"/>
                      <w:sz w:val="20"/>
                      <w:lang w:eastAsia="en-GB"/>
                    </w:rPr>
                    <w:t>Mixed*</w:t>
                  </w:r>
                </w:p>
              </w:tc>
            </w:tr>
            <w:tr w:rsidR="00C60C82" w:rsidRPr="00C60C82" w14:paraId="5C7C64B7" w14:textId="77777777" w:rsidTr="00C60C82">
              <w:trPr>
                <w:trHeight w:val="286"/>
              </w:trPr>
              <w:tc>
                <w:tcPr>
                  <w:tcW w:w="2598" w:type="dxa"/>
                  <w:vMerge/>
                  <w:tcBorders>
                    <w:left w:val="nil"/>
                    <w:right w:val="nil"/>
                  </w:tcBorders>
                  <w:vAlign w:val="center"/>
                  <w:hideMark/>
                </w:tcPr>
                <w:p w14:paraId="26667694" w14:textId="77777777" w:rsidR="001D24B6" w:rsidRPr="00C60C82" w:rsidRDefault="001D24B6" w:rsidP="001D24B6">
                  <w:pPr>
                    <w:spacing w:line="240" w:lineRule="auto"/>
                    <w:rPr>
                      <w:rFonts w:ascii="Mute" w:hAnsi="Mute" w:cs="Calibri"/>
                      <w:b/>
                      <w:bCs/>
                      <w:color w:val="000000"/>
                      <w:sz w:val="20"/>
                      <w:lang w:eastAsia="en-GB"/>
                    </w:rPr>
                  </w:pPr>
                </w:p>
              </w:tc>
              <w:tc>
                <w:tcPr>
                  <w:tcW w:w="8212" w:type="dxa"/>
                  <w:tcBorders>
                    <w:top w:val="nil"/>
                    <w:left w:val="nil"/>
                    <w:bottom w:val="nil"/>
                    <w:right w:val="nil"/>
                  </w:tcBorders>
                  <w:shd w:val="clear" w:color="auto" w:fill="auto"/>
                  <w:noWrap/>
                  <w:vAlign w:val="bottom"/>
                  <w:hideMark/>
                </w:tcPr>
                <w:p w14:paraId="43DFD5B8" w14:textId="77777777" w:rsidR="001D24B6" w:rsidRPr="00C60C82" w:rsidRDefault="001D24B6" w:rsidP="001D24B6">
                  <w:pPr>
                    <w:spacing w:line="240" w:lineRule="auto"/>
                    <w:rPr>
                      <w:rFonts w:ascii="Mute" w:hAnsi="Mute" w:cs="Calibri"/>
                      <w:color w:val="000000"/>
                      <w:sz w:val="20"/>
                      <w:lang w:eastAsia="en-GB"/>
                    </w:rPr>
                  </w:pPr>
                  <w:r w:rsidRPr="00C60C82">
                    <w:rPr>
                      <w:rFonts w:ascii="Mute" w:hAnsi="Mute" w:cs="Calibri"/>
                      <w:color w:val="000000"/>
                      <w:sz w:val="20"/>
                      <w:lang w:eastAsia="en-GB"/>
                    </w:rPr>
                    <w:t>Shareholder Proposal Regarding Human Rights/Civil Rights Expertise on Board</w:t>
                  </w:r>
                </w:p>
              </w:tc>
              <w:tc>
                <w:tcPr>
                  <w:tcW w:w="2268" w:type="dxa"/>
                  <w:tcBorders>
                    <w:top w:val="nil"/>
                    <w:left w:val="nil"/>
                    <w:bottom w:val="nil"/>
                    <w:right w:val="nil"/>
                  </w:tcBorders>
                  <w:shd w:val="clear" w:color="auto" w:fill="auto"/>
                  <w:noWrap/>
                  <w:vAlign w:val="bottom"/>
                  <w:hideMark/>
                </w:tcPr>
                <w:p w14:paraId="7D16D865" w14:textId="77777777" w:rsidR="001D24B6" w:rsidRPr="00C60C82" w:rsidRDefault="001D24B6" w:rsidP="001D24B6">
                  <w:pPr>
                    <w:spacing w:line="240" w:lineRule="auto"/>
                    <w:rPr>
                      <w:rFonts w:ascii="Mute" w:hAnsi="Mute" w:cs="Calibri"/>
                      <w:color w:val="000000"/>
                      <w:sz w:val="20"/>
                      <w:lang w:eastAsia="en-GB"/>
                    </w:rPr>
                  </w:pPr>
                  <w:r w:rsidRPr="00C60C82">
                    <w:rPr>
                      <w:rFonts w:ascii="Mute" w:hAnsi="Mute" w:cs="Calibri"/>
                      <w:color w:val="000000"/>
                      <w:sz w:val="20"/>
                      <w:lang w:eastAsia="en-GB"/>
                    </w:rPr>
                    <w:t>Alphabet Inc</w:t>
                  </w:r>
                </w:p>
              </w:tc>
              <w:tc>
                <w:tcPr>
                  <w:tcW w:w="1276" w:type="dxa"/>
                  <w:tcBorders>
                    <w:top w:val="nil"/>
                    <w:left w:val="nil"/>
                    <w:bottom w:val="nil"/>
                    <w:right w:val="nil"/>
                  </w:tcBorders>
                  <w:shd w:val="clear" w:color="auto" w:fill="auto"/>
                  <w:noWrap/>
                  <w:vAlign w:val="bottom"/>
                  <w:hideMark/>
                </w:tcPr>
                <w:p w14:paraId="707891C0" w14:textId="77777777" w:rsidR="001D24B6" w:rsidRPr="00C60C82" w:rsidRDefault="001D24B6" w:rsidP="001D24B6">
                  <w:pPr>
                    <w:spacing w:line="240" w:lineRule="auto"/>
                    <w:rPr>
                      <w:rFonts w:ascii="Mute" w:hAnsi="Mute" w:cs="Calibri"/>
                      <w:sz w:val="20"/>
                      <w:lang w:eastAsia="en-GB"/>
                    </w:rPr>
                  </w:pPr>
                  <w:r w:rsidRPr="00C60C82">
                    <w:rPr>
                      <w:rFonts w:ascii="Mute" w:hAnsi="Mute" w:cs="Calibri"/>
                      <w:sz w:val="20"/>
                      <w:lang w:eastAsia="en-GB"/>
                    </w:rPr>
                    <w:t>For</w:t>
                  </w:r>
                </w:p>
              </w:tc>
            </w:tr>
            <w:tr w:rsidR="00C60C82" w:rsidRPr="00C60C82" w14:paraId="4190C00A" w14:textId="77777777" w:rsidTr="00C60C82">
              <w:trPr>
                <w:trHeight w:val="286"/>
              </w:trPr>
              <w:tc>
                <w:tcPr>
                  <w:tcW w:w="2598" w:type="dxa"/>
                  <w:vMerge/>
                  <w:tcBorders>
                    <w:left w:val="nil"/>
                    <w:bottom w:val="nil"/>
                    <w:right w:val="nil"/>
                  </w:tcBorders>
                  <w:shd w:val="clear" w:color="auto" w:fill="auto"/>
                  <w:noWrap/>
                  <w:vAlign w:val="center"/>
                  <w:hideMark/>
                </w:tcPr>
                <w:p w14:paraId="2B30A4F6" w14:textId="77777777" w:rsidR="001D24B6" w:rsidRPr="00C60C82" w:rsidRDefault="001D24B6" w:rsidP="001D24B6">
                  <w:pPr>
                    <w:spacing w:line="240" w:lineRule="auto"/>
                    <w:rPr>
                      <w:rFonts w:ascii="Mute" w:hAnsi="Mute" w:cs="Calibri"/>
                      <w:color w:val="000000"/>
                      <w:sz w:val="20"/>
                      <w:lang w:eastAsia="en-GB"/>
                    </w:rPr>
                  </w:pPr>
                </w:p>
              </w:tc>
              <w:tc>
                <w:tcPr>
                  <w:tcW w:w="8212" w:type="dxa"/>
                  <w:tcBorders>
                    <w:top w:val="nil"/>
                    <w:left w:val="nil"/>
                    <w:bottom w:val="nil"/>
                    <w:right w:val="nil"/>
                  </w:tcBorders>
                  <w:shd w:val="clear" w:color="auto" w:fill="auto"/>
                  <w:noWrap/>
                  <w:vAlign w:val="bottom"/>
                  <w:hideMark/>
                </w:tcPr>
                <w:p w14:paraId="04353B1A" w14:textId="77777777" w:rsidR="001D24B6" w:rsidRPr="00C60C82" w:rsidRDefault="001D24B6" w:rsidP="001D24B6">
                  <w:pPr>
                    <w:spacing w:line="240" w:lineRule="auto"/>
                    <w:rPr>
                      <w:rFonts w:ascii="Mute" w:hAnsi="Mute" w:cs="Calibri"/>
                      <w:color w:val="000000"/>
                      <w:sz w:val="20"/>
                      <w:lang w:eastAsia="en-GB"/>
                    </w:rPr>
                  </w:pPr>
                  <w:r w:rsidRPr="00C60C82">
                    <w:rPr>
                      <w:rFonts w:ascii="Mute" w:hAnsi="Mute" w:cs="Calibri"/>
                      <w:color w:val="000000"/>
                      <w:sz w:val="20"/>
                      <w:lang w:eastAsia="en-GB"/>
                    </w:rPr>
                    <w:t>Shareholder Proposal Regarding Linking Executive Pay to Sustainability and Diversity</w:t>
                  </w:r>
                </w:p>
              </w:tc>
              <w:tc>
                <w:tcPr>
                  <w:tcW w:w="2268" w:type="dxa"/>
                  <w:tcBorders>
                    <w:top w:val="nil"/>
                    <w:left w:val="nil"/>
                    <w:bottom w:val="nil"/>
                    <w:right w:val="nil"/>
                  </w:tcBorders>
                  <w:shd w:val="clear" w:color="auto" w:fill="auto"/>
                  <w:noWrap/>
                  <w:vAlign w:val="bottom"/>
                  <w:hideMark/>
                </w:tcPr>
                <w:p w14:paraId="0928FDBC" w14:textId="77777777" w:rsidR="001D24B6" w:rsidRPr="00C60C82" w:rsidRDefault="001D24B6" w:rsidP="001D24B6">
                  <w:pPr>
                    <w:spacing w:line="240" w:lineRule="auto"/>
                    <w:rPr>
                      <w:rFonts w:ascii="Mute" w:hAnsi="Mute" w:cs="Calibri"/>
                      <w:color w:val="000000"/>
                      <w:sz w:val="20"/>
                      <w:lang w:eastAsia="en-GB"/>
                    </w:rPr>
                  </w:pPr>
                  <w:r w:rsidRPr="00C60C82">
                    <w:rPr>
                      <w:rFonts w:ascii="Mute" w:hAnsi="Mute" w:cs="Calibri"/>
                      <w:color w:val="000000"/>
                      <w:sz w:val="20"/>
                      <w:lang w:eastAsia="en-GB"/>
                    </w:rPr>
                    <w:t>Alphabet Inc</w:t>
                  </w:r>
                </w:p>
              </w:tc>
              <w:tc>
                <w:tcPr>
                  <w:tcW w:w="1276" w:type="dxa"/>
                  <w:tcBorders>
                    <w:top w:val="nil"/>
                    <w:left w:val="nil"/>
                    <w:bottom w:val="nil"/>
                    <w:right w:val="nil"/>
                  </w:tcBorders>
                  <w:shd w:val="clear" w:color="auto" w:fill="auto"/>
                  <w:noWrap/>
                  <w:vAlign w:val="bottom"/>
                  <w:hideMark/>
                </w:tcPr>
                <w:p w14:paraId="049ACC00" w14:textId="77777777" w:rsidR="001D24B6" w:rsidRPr="00C60C82" w:rsidRDefault="001D24B6" w:rsidP="001D24B6">
                  <w:pPr>
                    <w:spacing w:line="240" w:lineRule="auto"/>
                    <w:rPr>
                      <w:rFonts w:ascii="Mute" w:hAnsi="Mute" w:cs="Calibri"/>
                      <w:color w:val="000000"/>
                      <w:sz w:val="20"/>
                      <w:lang w:eastAsia="en-GB"/>
                    </w:rPr>
                  </w:pPr>
                  <w:r w:rsidRPr="00C60C82">
                    <w:rPr>
                      <w:rFonts w:ascii="Mute" w:hAnsi="Mute" w:cs="Calibri"/>
                      <w:color w:val="000000"/>
                      <w:sz w:val="20"/>
                      <w:lang w:eastAsia="en-GB"/>
                    </w:rPr>
                    <w:t>For</w:t>
                  </w:r>
                </w:p>
              </w:tc>
            </w:tr>
            <w:tr w:rsidR="00C60C82" w:rsidRPr="00C60C82" w14:paraId="256BCA3A" w14:textId="77777777" w:rsidTr="00C60C82">
              <w:trPr>
                <w:trHeight w:val="286"/>
              </w:trPr>
              <w:tc>
                <w:tcPr>
                  <w:tcW w:w="2598" w:type="dxa"/>
                  <w:tcBorders>
                    <w:top w:val="nil"/>
                    <w:left w:val="nil"/>
                    <w:bottom w:val="nil"/>
                    <w:right w:val="nil"/>
                  </w:tcBorders>
                  <w:shd w:val="clear" w:color="auto" w:fill="auto"/>
                  <w:noWrap/>
                  <w:vAlign w:val="center"/>
                  <w:hideMark/>
                </w:tcPr>
                <w:p w14:paraId="692427A2" w14:textId="77777777" w:rsidR="001D24B6" w:rsidRPr="00C60C82" w:rsidRDefault="001D24B6" w:rsidP="001D24B6">
                  <w:pPr>
                    <w:spacing w:line="240" w:lineRule="auto"/>
                    <w:rPr>
                      <w:rFonts w:ascii="Mute" w:hAnsi="Mute" w:cs="Calibri"/>
                      <w:color w:val="000000"/>
                      <w:sz w:val="20"/>
                      <w:lang w:eastAsia="en-GB"/>
                    </w:rPr>
                  </w:pPr>
                </w:p>
              </w:tc>
              <w:tc>
                <w:tcPr>
                  <w:tcW w:w="8212" w:type="dxa"/>
                  <w:tcBorders>
                    <w:top w:val="nil"/>
                    <w:left w:val="nil"/>
                    <w:bottom w:val="nil"/>
                    <w:right w:val="nil"/>
                  </w:tcBorders>
                  <w:shd w:val="clear" w:color="auto" w:fill="auto"/>
                  <w:noWrap/>
                  <w:vAlign w:val="bottom"/>
                  <w:hideMark/>
                </w:tcPr>
                <w:p w14:paraId="2B115030" w14:textId="77777777" w:rsidR="001D24B6" w:rsidRPr="00C60C82" w:rsidRDefault="001D24B6" w:rsidP="001D24B6">
                  <w:pPr>
                    <w:spacing w:line="240" w:lineRule="auto"/>
                    <w:rPr>
                      <w:rFonts w:ascii="Mute" w:hAnsi="Mute" w:cs="Times New Roman"/>
                      <w:sz w:val="20"/>
                      <w:lang w:eastAsia="en-GB"/>
                    </w:rPr>
                  </w:pPr>
                  <w:r w:rsidRPr="00C60C82">
                    <w:rPr>
                      <w:rFonts w:ascii="Mute" w:hAnsi="Mute" w:cstheme="minorHAnsi"/>
                      <w:i/>
                      <w:sz w:val="20"/>
                      <w:lang w:eastAsia="en-GB"/>
                    </w:rPr>
                    <w:t>*This mixed decision was the result of 2 managers voting “against”, and 1 manager voting “for” the proposal.</w:t>
                  </w:r>
                </w:p>
              </w:tc>
              <w:tc>
                <w:tcPr>
                  <w:tcW w:w="2268" w:type="dxa"/>
                  <w:tcBorders>
                    <w:top w:val="nil"/>
                    <w:left w:val="nil"/>
                    <w:bottom w:val="nil"/>
                    <w:right w:val="nil"/>
                  </w:tcBorders>
                  <w:shd w:val="clear" w:color="auto" w:fill="auto"/>
                  <w:noWrap/>
                  <w:vAlign w:val="bottom"/>
                  <w:hideMark/>
                </w:tcPr>
                <w:p w14:paraId="523E0F36" w14:textId="77777777" w:rsidR="001D24B6" w:rsidRPr="00C60C82" w:rsidRDefault="001D24B6" w:rsidP="001D24B6">
                  <w:pPr>
                    <w:spacing w:line="240" w:lineRule="auto"/>
                    <w:rPr>
                      <w:rFonts w:ascii="Mute" w:hAnsi="Mute" w:cs="Times New Roman"/>
                      <w:sz w:val="20"/>
                      <w:lang w:eastAsia="en-GB"/>
                    </w:rPr>
                  </w:pPr>
                </w:p>
              </w:tc>
              <w:tc>
                <w:tcPr>
                  <w:tcW w:w="1276" w:type="dxa"/>
                  <w:tcBorders>
                    <w:top w:val="nil"/>
                    <w:left w:val="nil"/>
                    <w:bottom w:val="nil"/>
                    <w:right w:val="nil"/>
                  </w:tcBorders>
                  <w:shd w:val="clear" w:color="auto" w:fill="auto"/>
                  <w:noWrap/>
                  <w:vAlign w:val="bottom"/>
                  <w:hideMark/>
                </w:tcPr>
                <w:p w14:paraId="31DA794A" w14:textId="77777777" w:rsidR="001D24B6" w:rsidRPr="00C60C82" w:rsidRDefault="001D24B6" w:rsidP="001D24B6">
                  <w:pPr>
                    <w:spacing w:line="240" w:lineRule="auto"/>
                    <w:rPr>
                      <w:rFonts w:ascii="Mute" w:hAnsi="Mute" w:cs="Times New Roman"/>
                      <w:sz w:val="20"/>
                      <w:lang w:eastAsia="en-GB"/>
                    </w:rPr>
                  </w:pPr>
                </w:p>
              </w:tc>
            </w:tr>
            <w:tr w:rsidR="00C60C82" w:rsidRPr="00C60C82" w14:paraId="1117929D" w14:textId="77777777" w:rsidTr="00C60C82">
              <w:trPr>
                <w:trHeight w:val="286"/>
              </w:trPr>
              <w:tc>
                <w:tcPr>
                  <w:tcW w:w="2598" w:type="dxa"/>
                  <w:vMerge w:val="restart"/>
                  <w:tcBorders>
                    <w:top w:val="single" w:sz="4" w:space="0" w:color="00B0F0"/>
                    <w:left w:val="nil"/>
                    <w:right w:val="nil"/>
                  </w:tcBorders>
                  <w:shd w:val="clear" w:color="auto" w:fill="auto"/>
                  <w:noWrap/>
                  <w:vAlign w:val="center"/>
                  <w:hideMark/>
                </w:tcPr>
                <w:p w14:paraId="3339CB58" w14:textId="77777777" w:rsidR="001D24B6" w:rsidRPr="00C60C82" w:rsidRDefault="001D24B6" w:rsidP="001D24B6">
                  <w:pPr>
                    <w:spacing w:line="240" w:lineRule="auto"/>
                    <w:rPr>
                      <w:rFonts w:ascii="Mute" w:hAnsi="Mute" w:cs="Calibri"/>
                      <w:b/>
                      <w:bCs/>
                      <w:color w:val="000000"/>
                      <w:sz w:val="20"/>
                      <w:lang w:eastAsia="en-GB"/>
                    </w:rPr>
                  </w:pPr>
                  <w:r w:rsidRPr="00C60C82">
                    <w:rPr>
                      <w:rFonts w:ascii="Mute" w:hAnsi="Mute" w:cs="Calibri"/>
                      <w:b/>
                      <w:bCs/>
                      <w:color w:val="000000"/>
                      <w:sz w:val="20"/>
                      <w:lang w:eastAsia="en-GB"/>
                    </w:rPr>
                    <w:t>MGI Emerging Markets Equity Fund</w:t>
                  </w:r>
                </w:p>
              </w:tc>
              <w:tc>
                <w:tcPr>
                  <w:tcW w:w="8212" w:type="dxa"/>
                  <w:tcBorders>
                    <w:top w:val="single" w:sz="4" w:space="0" w:color="00B0F0"/>
                    <w:left w:val="nil"/>
                    <w:bottom w:val="nil"/>
                    <w:right w:val="nil"/>
                  </w:tcBorders>
                  <w:shd w:val="clear" w:color="auto" w:fill="auto"/>
                  <w:noWrap/>
                  <w:vAlign w:val="bottom"/>
                  <w:hideMark/>
                </w:tcPr>
                <w:p w14:paraId="4B3AB241" w14:textId="77777777" w:rsidR="001D24B6" w:rsidRPr="00C60C82" w:rsidRDefault="001D24B6" w:rsidP="001D24B6">
                  <w:pPr>
                    <w:spacing w:line="240" w:lineRule="auto"/>
                    <w:rPr>
                      <w:rFonts w:ascii="Mute" w:hAnsi="Mute" w:cs="Calibri"/>
                      <w:color w:val="000000"/>
                      <w:sz w:val="20"/>
                      <w:lang w:eastAsia="en-GB"/>
                    </w:rPr>
                  </w:pPr>
                  <w:r w:rsidRPr="00C60C82">
                    <w:rPr>
                      <w:rFonts w:ascii="Mute" w:hAnsi="Mute" w:cs="Calibri"/>
                      <w:color w:val="000000"/>
                      <w:sz w:val="20"/>
                      <w:lang w:eastAsia="en-GB"/>
                    </w:rPr>
                    <w:t>Management Proposal Regarding Election of Directors</w:t>
                  </w:r>
                </w:p>
              </w:tc>
              <w:tc>
                <w:tcPr>
                  <w:tcW w:w="2268" w:type="dxa"/>
                  <w:tcBorders>
                    <w:top w:val="single" w:sz="4" w:space="0" w:color="00B0F0"/>
                    <w:left w:val="nil"/>
                    <w:bottom w:val="nil"/>
                    <w:right w:val="nil"/>
                  </w:tcBorders>
                  <w:shd w:val="clear" w:color="auto" w:fill="auto"/>
                  <w:noWrap/>
                  <w:vAlign w:val="bottom"/>
                  <w:hideMark/>
                </w:tcPr>
                <w:p w14:paraId="25D545CD" w14:textId="77777777" w:rsidR="001D24B6" w:rsidRPr="00C60C82" w:rsidRDefault="001D24B6" w:rsidP="001D24B6">
                  <w:pPr>
                    <w:spacing w:line="240" w:lineRule="auto"/>
                    <w:rPr>
                      <w:rFonts w:ascii="Mute" w:hAnsi="Mute" w:cs="Calibri"/>
                      <w:color w:val="000000"/>
                      <w:sz w:val="20"/>
                      <w:lang w:eastAsia="en-GB"/>
                    </w:rPr>
                  </w:pPr>
                  <w:r w:rsidRPr="00C60C82">
                    <w:rPr>
                      <w:rFonts w:ascii="Mute" w:hAnsi="Mute" w:cs="Calibri"/>
                      <w:color w:val="000000"/>
                      <w:sz w:val="20"/>
                      <w:lang w:eastAsia="en-GB"/>
                    </w:rPr>
                    <w:t>Taiwan Semiconductor Manufactoring</w:t>
                  </w:r>
                </w:p>
              </w:tc>
              <w:tc>
                <w:tcPr>
                  <w:tcW w:w="1276" w:type="dxa"/>
                  <w:tcBorders>
                    <w:top w:val="single" w:sz="4" w:space="0" w:color="00B0F0"/>
                    <w:left w:val="nil"/>
                    <w:bottom w:val="nil"/>
                    <w:right w:val="nil"/>
                  </w:tcBorders>
                  <w:shd w:val="clear" w:color="auto" w:fill="auto"/>
                  <w:noWrap/>
                  <w:vAlign w:val="bottom"/>
                  <w:hideMark/>
                </w:tcPr>
                <w:p w14:paraId="01E38951" w14:textId="77777777" w:rsidR="001D24B6" w:rsidRPr="00C60C82" w:rsidRDefault="001D24B6" w:rsidP="001D24B6">
                  <w:pPr>
                    <w:spacing w:line="240" w:lineRule="auto"/>
                    <w:rPr>
                      <w:rFonts w:ascii="Mute" w:hAnsi="Mute" w:cs="Calibri"/>
                      <w:color w:val="000000"/>
                      <w:sz w:val="20"/>
                      <w:lang w:eastAsia="en-GB"/>
                    </w:rPr>
                  </w:pPr>
                  <w:r w:rsidRPr="00C60C82">
                    <w:rPr>
                      <w:rFonts w:ascii="Mute" w:hAnsi="Mute" w:cs="Calibri"/>
                      <w:color w:val="000000"/>
                      <w:sz w:val="20"/>
                      <w:lang w:eastAsia="en-GB"/>
                    </w:rPr>
                    <w:t>For</w:t>
                  </w:r>
                </w:p>
              </w:tc>
            </w:tr>
            <w:tr w:rsidR="00C60C82" w:rsidRPr="00C60C82" w14:paraId="07B2B3B7" w14:textId="77777777" w:rsidTr="00C60C82">
              <w:trPr>
                <w:trHeight w:val="286"/>
              </w:trPr>
              <w:tc>
                <w:tcPr>
                  <w:tcW w:w="2598" w:type="dxa"/>
                  <w:vMerge/>
                  <w:tcBorders>
                    <w:left w:val="nil"/>
                    <w:right w:val="nil"/>
                  </w:tcBorders>
                  <w:shd w:val="clear" w:color="auto" w:fill="auto"/>
                  <w:noWrap/>
                  <w:vAlign w:val="center"/>
                  <w:hideMark/>
                </w:tcPr>
                <w:p w14:paraId="50604EA1" w14:textId="77777777" w:rsidR="001D24B6" w:rsidRPr="00C60C82" w:rsidRDefault="001D24B6" w:rsidP="001D24B6">
                  <w:pPr>
                    <w:spacing w:line="240" w:lineRule="auto"/>
                    <w:rPr>
                      <w:rFonts w:ascii="Mute" w:hAnsi="Mute" w:cs="Calibri"/>
                      <w:color w:val="000000"/>
                      <w:sz w:val="20"/>
                      <w:lang w:eastAsia="en-GB"/>
                    </w:rPr>
                  </w:pPr>
                </w:p>
              </w:tc>
              <w:tc>
                <w:tcPr>
                  <w:tcW w:w="8212" w:type="dxa"/>
                  <w:tcBorders>
                    <w:top w:val="nil"/>
                    <w:left w:val="nil"/>
                    <w:bottom w:val="nil"/>
                    <w:right w:val="nil"/>
                  </w:tcBorders>
                  <w:shd w:val="clear" w:color="auto" w:fill="auto"/>
                  <w:noWrap/>
                  <w:vAlign w:val="bottom"/>
                  <w:hideMark/>
                </w:tcPr>
                <w:p w14:paraId="19B54CCF" w14:textId="77777777" w:rsidR="001D24B6" w:rsidRPr="00C60C82" w:rsidRDefault="001D24B6" w:rsidP="001D24B6">
                  <w:pPr>
                    <w:spacing w:line="240" w:lineRule="auto"/>
                    <w:rPr>
                      <w:rFonts w:ascii="Mute" w:hAnsi="Mute" w:cs="Calibri"/>
                      <w:color w:val="000000"/>
                      <w:sz w:val="20"/>
                      <w:lang w:eastAsia="en-GB"/>
                    </w:rPr>
                  </w:pPr>
                  <w:r w:rsidRPr="00C60C82">
                    <w:rPr>
                      <w:rFonts w:ascii="Mute" w:hAnsi="Mute" w:cs="Calibri"/>
                      <w:color w:val="000000"/>
                      <w:sz w:val="20"/>
                      <w:lang w:eastAsia="en-GB"/>
                    </w:rPr>
                    <w:t>Management Proposal Regarding Election of Directors</w:t>
                  </w:r>
                </w:p>
              </w:tc>
              <w:tc>
                <w:tcPr>
                  <w:tcW w:w="2268" w:type="dxa"/>
                  <w:tcBorders>
                    <w:top w:val="nil"/>
                    <w:left w:val="nil"/>
                    <w:bottom w:val="nil"/>
                    <w:right w:val="nil"/>
                  </w:tcBorders>
                  <w:shd w:val="clear" w:color="auto" w:fill="auto"/>
                  <w:noWrap/>
                  <w:vAlign w:val="bottom"/>
                  <w:hideMark/>
                </w:tcPr>
                <w:p w14:paraId="5B505E44" w14:textId="77777777" w:rsidR="001D24B6" w:rsidRPr="00C60C82" w:rsidRDefault="001D24B6" w:rsidP="001D24B6">
                  <w:pPr>
                    <w:spacing w:line="240" w:lineRule="auto"/>
                    <w:rPr>
                      <w:rFonts w:ascii="Mute" w:hAnsi="Mute" w:cs="Calibri"/>
                      <w:color w:val="000000"/>
                      <w:sz w:val="20"/>
                      <w:lang w:eastAsia="en-GB"/>
                    </w:rPr>
                  </w:pPr>
                  <w:r w:rsidRPr="00C60C82">
                    <w:rPr>
                      <w:rFonts w:ascii="Mute" w:hAnsi="Mute" w:cs="Calibri"/>
                      <w:color w:val="000000"/>
                      <w:sz w:val="20"/>
                      <w:lang w:eastAsia="en-GB"/>
                    </w:rPr>
                    <w:t>Infosys Ltd</w:t>
                  </w:r>
                </w:p>
              </w:tc>
              <w:tc>
                <w:tcPr>
                  <w:tcW w:w="1276" w:type="dxa"/>
                  <w:tcBorders>
                    <w:top w:val="nil"/>
                    <w:left w:val="nil"/>
                    <w:bottom w:val="nil"/>
                    <w:right w:val="nil"/>
                  </w:tcBorders>
                  <w:shd w:val="clear" w:color="auto" w:fill="auto"/>
                  <w:noWrap/>
                  <w:vAlign w:val="bottom"/>
                  <w:hideMark/>
                </w:tcPr>
                <w:p w14:paraId="353D31F7" w14:textId="77777777" w:rsidR="001D24B6" w:rsidRPr="00C60C82" w:rsidRDefault="001D24B6" w:rsidP="001D24B6">
                  <w:pPr>
                    <w:spacing w:line="240" w:lineRule="auto"/>
                    <w:rPr>
                      <w:rFonts w:ascii="Mute" w:hAnsi="Mute" w:cs="Calibri"/>
                      <w:color w:val="000000"/>
                      <w:sz w:val="20"/>
                      <w:lang w:eastAsia="en-GB"/>
                    </w:rPr>
                  </w:pPr>
                  <w:r w:rsidRPr="00C60C82">
                    <w:rPr>
                      <w:rFonts w:ascii="Mute" w:hAnsi="Mute" w:cs="Calibri"/>
                      <w:color w:val="000000"/>
                      <w:sz w:val="20"/>
                      <w:lang w:eastAsia="en-GB"/>
                    </w:rPr>
                    <w:t>For</w:t>
                  </w:r>
                </w:p>
              </w:tc>
            </w:tr>
            <w:tr w:rsidR="00C60C82" w:rsidRPr="00C60C82" w14:paraId="23484285" w14:textId="77777777" w:rsidTr="00C60C82">
              <w:trPr>
                <w:trHeight w:val="286"/>
              </w:trPr>
              <w:tc>
                <w:tcPr>
                  <w:tcW w:w="2598" w:type="dxa"/>
                  <w:vMerge/>
                  <w:tcBorders>
                    <w:left w:val="nil"/>
                    <w:bottom w:val="nil"/>
                    <w:right w:val="nil"/>
                  </w:tcBorders>
                  <w:shd w:val="clear" w:color="auto" w:fill="auto"/>
                  <w:noWrap/>
                  <w:vAlign w:val="center"/>
                  <w:hideMark/>
                </w:tcPr>
                <w:p w14:paraId="6DA524EE" w14:textId="77777777" w:rsidR="001D24B6" w:rsidRPr="00C60C82" w:rsidRDefault="001D24B6" w:rsidP="001D24B6">
                  <w:pPr>
                    <w:spacing w:line="240" w:lineRule="auto"/>
                    <w:rPr>
                      <w:rFonts w:ascii="Mute" w:hAnsi="Mute" w:cs="Calibri"/>
                      <w:color w:val="000000"/>
                      <w:sz w:val="20"/>
                      <w:lang w:eastAsia="en-GB"/>
                    </w:rPr>
                  </w:pPr>
                </w:p>
              </w:tc>
              <w:tc>
                <w:tcPr>
                  <w:tcW w:w="8212" w:type="dxa"/>
                  <w:tcBorders>
                    <w:top w:val="nil"/>
                    <w:left w:val="nil"/>
                    <w:bottom w:val="nil"/>
                    <w:right w:val="nil"/>
                  </w:tcBorders>
                  <w:shd w:val="clear" w:color="auto" w:fill="auto"/>
                  <w:noWrap/>
                  <w:vAlign w:val="bottom"/>
                  <w:hideMark/>
                </w:tcPr>
                <w:p w14:paraId="7386BA2A" w14:textId="77777777" w:rsidR="001D24B6" w:rsidRPr="00C60C82" w:rsidRDefault="001D24B6" w:rsidP="001D24B6">
                  <w:pPr>
                    <w:spacing w:line="240" w:lineRule="auto"/>
                    <w:rPr>
                      <w:rFonts w:ascii="Mute" w:hAnsi="Mute" w:cs="Calibri"/>
                      <w:color w:val="000000"/>
                      <w:sz w:val="20"/>
                      <w:lang w:eastAsia="en-GB"/>
                    </w:rPr>
                  </w:pPr>
                  <w:r w:rsidRPr="00C60C82">
                    <w:rPr>
                      <w:rFonts w:ascii="Mute" w:hAnsi="Mute" w:cs="Calibri"/>
                      <w:color w:val="000000"/>
                      <w:sz w:val="20"/>
                      <w:lang w:eastAsia="en-GB"/>
                    </w:rPr>
                    <w:t>Management Proposal Regarding Election of Directors</w:t>
                  </w:r>
                </w:p>
              </w:tc>
              <w:tc>
                <w:tcPr>
                  <w:tcW w:w="2268" w:type="dxa"/>
                  <w:tcBorders>
                    <w:top w:val="nil"/>
                    <w:left w:val="nil"/>
                    <w:bottom w:val="nil"/>
                    <w:right w:val="nil"/>
                  </w:tcBorders>
                  <w:shd w:val="clear" w:color="auto" w:fill="auto"/>
                  <w:noWrap/>
                  <w:vAlign w:val="bottom"/>
                  <w:hideMark/>
                </w:tcPr>
                <w:p w14:paraId="12A0D944" w14:textId="77777777" w:rsidR="001D24B6" w:rsidRPr="00C60C82" w:rsidRDefault="001D24B6" w:rsidP="001D24B6">
                  <w:pPr>
                    <w:spacing w:line="240" w:lineRule="auto"/>
                    <w:rPr>
                      <w:rFonts w:ascii="Mute" w:hAnsi="Mute" w:cs="Calibri"/>
                      <w:color w:val="000000"/>
                      <w:sz w:val="20"/>
                      <w:lang w:eastAsia="en-GB"/>
                    </w:rPr>
                  </w:pPr>
                  <w:r w:rsidRPr="00C60C82">
                    <w:rPr>
                      <w:rFonts w:ascii="Mute" w:hAnsi="Mute" w:cs="Calibri"/>
                      <w:color w:val="000000"/>
                      <w:sz w:val="20"/>
                      <w:lang w:eastAsia="en-GB"/>
                    </w:rPr>
                    <w:t>Samsung Electronics</w:t>
                  </w:r>
                </w:p>
              </w:tc>
              <w:tc>
                <w:tcPr>
                  <w:tcW w:w="1276" w:type="dxa"/>
                  <w:tcBorders>
                    <w:top w:val="nil"/>
                    <w:left w:val="nil"/>
                    <w:bottom w:val="nil"/>
                    <w:right w:val="nil"/>
                  </w:tcBorders>
                  <w:shd w:val="clear" w:color="auto" w:fill="auto"/>
                  <w:noWrap/>
                  <w:vAlign w:val="bottom"/>
                  <w:hideMark/>
                </w:tcPr>
                <w:p w14:paraId="3FBBD0DB" w14:textId="77777777" w:rsidR="001D24B6" w:rsidRPr="00C60C82" w:rsidRDefault="001D24B6" w:rsidP="001D24B6">
                  <w:pPr>
                    <w:spacing w:line="240" w:lineRule="auto"/>
                    <w:rPr>
                      <w:rFonts w:ascii="Mute" w:hAnsi="Mute" w:cs="Calibri"/>
                      <w:color w:val="000000"/>
                      <w:sz w:val="20"/>
                      <w:lang w:eastAsia="en-GB"/>
                    </w:rPr>
                  </w:pPr>
                  <w:r w:rsidRPr="00C60C82">
                    <w:rPr>
                      <w:rFonts w:ascii="Mute" w:hAnsi="Mute" w:cs="Calibri"/>
                      <w:color w:val="000000"/>
                      <w:sz w:val="20"/>
                      <w:lang w:eastAsia="en-GB"/>
                    </w:rPr>
                    <w:t>For</w:t>
                  </w:r>
                </w:p>
              </w:tc>
            </w:tr>
            <w:tr w:rsidR="00C60C82" w:rsidRPr="00C60C82" w14:paraId="3620AEB2" w14:textId="77777777" w:rsidTr="00C60C82">
              <w:trPr>
                <w:trHeight w:val="286"/>
              </w:trPr>
              <w:tc>
                <w:tcPr>
                  <w:tcW w:w="2598" w:type="dxa"/>
                  <w:tcBorders>
                    <w:top w:val="nil"/>
                    <w:left w:val="nil"/>
                    <w:bottom w:val="nil"/>
                    <w:right w:val="nil"/>
                  </w:tcBorders>
                  <w:shd w:val="clear" w:color="auto" w:fill="auto"/>
                  <w:noWrap/>
                  <w:vAlign w:val="center"/>
                  <w:hideMark/>
                </w:tcPr>
                <w:p w14:paraId="262C9D71" w14:textId="77777777" w:rsidR="001D24B6" w:rsidRPr="00C60C82" w:rsidRDefault="001D24B6" w:rsidP="001D24B6">
                  <w:pPr>
                    <w:spacing w:line="240" w:lineRule="auto"/>
                    <w:rPr>
                      <w:rFonts w:ascii="Mute" w:hAnsi="Mute" w:cs="Calibri"/>
                      <w:color w:val="000000"/>
                      <w:sz w:val="20"/>
                      <w:lang w:eastAsia="en-GB"/>
                    </w:rPr>
                  </w:pPr>
                </w:p>
              </w:tc>
              <w:tc>
                <w:tcPr>
                  <w:tcW w:w="8212" w:type="dxa"/>
                  <w:tcBorders>
                    <w:top w:val="nil"/>
                    <w:left w:val="nil"/>
                    <w:bottom w:val="nil"/>
                    <w:right w:val="nil"/>
                  </w:tcBorders>
                  <w:shd w:val="clear" w:color="auto" w:fill="auto"/>
                  <w:noWrap/>
                  <w:vAlign w:val="bottom"/>
                  <w:hideMark/>
                </w:tcPr>
                <w:p w14:paraId="18A0C993" w14:textId="77777777" w:rsidR="001D24B6" w:rsidRPr="00C60C82" w:rsidRDefault="001D24B6" w:rsidP="001D24B6">
                  <w:pPr>
                    <w:spacing w:line="240" w:lineRule="auto"/>
                    <w:rPr>
                      <w:rFonts w:ascii="Mute" w:hAnsi="Mute" w:cs="Times New Roman"/>
                      <w:sz w:val="20"/>
                      <w:lang w:eastAsia="en-GB"/>
                    </w:rPr>
                  </w:pPr>
                </w:p>
              </w:tc>
              <w:tc>
                <w:tcPr>
                  <w:tcW w:w="2268" w:type="dxa"/>
                  <w:tcBorders>
                    <w:top w:val="nil"/>
                    <w:left w:val="nil"/>
                    <w:bottom w:val="nil"/>
                    <w:right w:val="nil"/>
                  </w:tcBorders>
                  <w:shd w:val="clear" w:color="auto" w:fill="auto"/>
                  <w:noWrap/>
                  <w:vAlign w:val="bottom"/>
                  <w:hideMark/>
                </w:tcPr>
                <w:p w14:paraId="6B61D7DA" w14:textId="77777777" w:rsidR="001D24B6" w:rsidRPr="00C60C82" w:rsidRDefault="001D24B6" w:rsidP="001D24B6">
                  <w:pPr>
                    <w:spacing w:line="240" w:lineRule="auto"/>
                    <w:rPr>
                      <w:rFonts w:ascii="Mute" w:hAnsi="Mute" w:cs="Times New Roman"/>
                      <w:sz w:val="20"/>
                      <w:lang w:eastAsia="en-GB"/>
                    </w:rPr>
                  </w:pPr>
                </w:p>
              </w:tc>
              <w:tc>
                <w:tcPr>
                  <w:tcW w:w="1276" w:type="dxa"/>
                  <w:tcBorders>
                    <w:top w:val="nil"/>
                    <w:left w:val="nil"/>
                    <w:bottom w:val="nil"/>
                    <w:right w:val="nil"/>
                  </w:tcBorders>
                  <w:shd w:val="clear" w:color="auto" w:fill="auto"/>
                  <w:noWrap/>
                  <w:vAlign w:val="bottom"/>
                  <w:hideMark/>
                </w:tcPr>
                <w:p w14:paraId="23A2C307" w14:textId="77777777" w:rsidR="001D24B6" w:rsidRPr="00C60C82" w:rsidRDefault="001D24B6" w:rsidP="001D24B6">
                  <w:pPr>
                    <w:spacing w:line="240" w:lineRule="auto"/>
                    <w:rPr>
                      <w:rFonts w:ascii="Mute" w:hAnsi="Mute" w:cs="Times New Roman"/>
                      <w:sz w:val="20"/>
                      <w:lang w:eastAsia="en-GB"/>
                    </w:rPr>
                  </w:pPr>
                </w:p>
              </w:tc>
            </w:tr>
            <w:tr w:rsidR="00C60C82" w:rsidRPr="00C60C82" w14:paraId="31100712" w14:textId="77777777" w:rsidTr="00C60C82">
              <w:trPr>
                <w:trHeight w:val="286"/>
              </w:trPr>
              <w:tc>
                <w:tcPr>
                  <w:tcW w:w="2598" w:type="dxa"/>
                  <w:vMerge w:val="restart"/>
                  <w:tcBorders>
                    <w:top w:val="single" w:sz="4" w:space="0" w:color="00B0F0"/>
                    <w:left w:val="nil"/>
                    <w:right w:val="nil"/>
                  </w:tcBorders>
                  <w:shd w:val="clear" w:color="auto" w:fill="auto"/>
                  <w:noWrap/>
                  <w:vAlign w:val="center"/>
                  <w:hideMark/>
                </w:tcPr>
                <w:p w14:paraId="1EDAC3A0" w14:textId="77777777" w:rsidR="001D24B6" w:rsidRPr="00C60C82" w:rsidRDefault="001D24B6" w:rsidP="001D24B6">
                  <w:pPr>
                    <w:spacing w:line="240" w:lineRule="auto"/>
                    <w:rPr>
                      <w:rFonts w:ascii="Mute" w:hAnsi="Mute" w:cs="Calibri"/>
                      <w:b/>
                      <w:bCs/>
                      <w:color w:val="000000"/>
                      <w:sz w:val="20"/>
                      <w:lang w:eastAsia="en-GB"/>
                    </w:rPr>
                  </w:pPr>
                  <w:r w:rsidRPr="00C60C82">
                    <w:rPr>
                      <w:rFonts w:ascii="Mute" w:hAnsi="Mute" w:cs="Calibri"/>
                      <w:b/>
                      <w:bCs/>
                      <w:color w:val="000000"/>
                      <w:sz w:val="20"/>
                      <w:lang w:eastAsia="en-GB"/>
                    </w:rPr>
                    <w:t>MGI Eurozone Equity Fund</w:t>
                  </w:r>
                </w:p>
              </w:tc>
              <w:tc>
                <w:tcPr>
                  <w:tcW w:w="8212" w:type="dxa"/>
                  <w:tcBorders>
                    <w:top w:val="single" w:sz="4" w:space="0" w:color="00B0F0"/>
                    <w:left w:val="nil"/>
                    <w:bottom w:val="nil"/>
                    <w:right w:val="nil"/>
                  </w:tcBorders>
                  <w:shd w:val="clear" w:color="auto" w:fill="auto"/>
                  <w:noWrap/>
                  <w:vAlign w:val="bottom"/>
                  <w:hideMark/>
                </w:tcPr>
                <w:p w14:paraId="498F8640" w14:textId="77777777" w:rsidR="001D24B6" w:rsidRPr="00C60C82" w:rsidRDefault="001D24B6" w:rsidP="001D24B6">
                  <w:pPr>
                    <w:spacing w:line="240" w:lineRule="auto"/>
                    <w:rPr>
                      <w:rFonts w:ascii="Mute" w:hAnsi="Mute" w:cs="Calibri"/>
                      <w:color w:val="000000"/>
                      <w:sz w:val="20"/>
                      <w:lang w:eastAsia="en-GB"/>
                    </w:rPr>
                  </w:pPr>
                  <w:r w:rsidRPr="00C60C82">
                    <w:rPr>
                      <w:rFonts w:ascii="Mute" w:hAnsi="Mute" w:cs="Calibri"/>
                      <w:color w:val="000000"/>
                      <w:sz w:val="20"/>
                      <w:lang w:eastAsia="en-GB"/>
                    </w:rPr>
                    <w:t>Management Proposal Regarding Greenshoe</w:t>
                  </w:r>
                </w:p>
              </w:tc>
              <w:tc>
                <w:tcPr>
                  <w:tcW w:w="2268" w:type="dxa"/>
                  <w:tcBorders>
                    <w:top w:val="single" w:sz="4" w:space="0" w:color="00B0F0"/>
                    <w:left w:val="nil"/>
                    <w:bottom w:val="nil"/>
                    <w:right w:val="nil"/>
                  </w:tcBorders>
                  <w:shd w:val="clear" w:color="auto" w:fill="auto"/>
                  <w:noWrap/>
                  <w:vAlign w:val="bottom"/>
                  <w:hideMark/>
                </w:tcPr>
                <w:p w14:paraId="221E16C6" w14:textId="77777777" w:rsidR="001D24B6" w:rsidRPr="00C60C82" w:rsidRDefault="001D24B6" w:rsidP="001D24B6">
                  <w:pPr>
                    <w:spacing w:line="240" w:lineRule="auto"/>
                    <w:rPr>
                      <w:rFonts w:ascii="Mute" w:hAnsi="Mute" w:cs="Calibri"/>
                      <w:color w:val="000000"/>
                      <w:sz w:val="20"/>
                      <w:lang w:eastAsia="en-GB"/>
                    </w:rPr>
                  </w:pPr>
                  <w:r w:rsidRPr="00C60C82">
                    <w:rPr>
                      <w:rFonts w:ascii="Mute" w:hAnsi="Mute" w:cs="Calibri"/>
                      <w:color w:val="000000"/>
                      <w:sz w:val="20"/>
                      <w:lang w:eastAsia="en-GB"/>
                    </w:rPr>
                    <w:t>LMVH M.H.V SE</w:t>
                  </w:r>
                </w:p>
              </w:tc>
              <w:tc>
                <w:tcPr>
                  <w:tcW w:w="1276" w:type="dxa"/>
                  <w:tcBorders>
                    <w:top w:val="single" w:sz="4" w:space="0" w:color="00B0F0"/>
                    <w:left w:val="nil"/>
                    <w:bottom w:val="nil"/>
                    <w:right w:val="nil"/>
                  </w:tcBorders>
                  <w:shd w:val="clear" w:color="auto" w:fill="auto"/>
                  <w:noWrap/>
                  <w:vAlign w:val="bottom"/>
                  <w:hideMark/>
                </w:tcPr>
                <w:p w14:paraId="775C7561" w14:textId="77777777" w:rsidR="001D24B6" w:rsidRPr="00C60C82" w:rsidRDefault="001D24B6" w:rsidP="001D24B6">
                  <w:pPr>
                    <w:spacing w:line="240" w:lineRule="auto"/>
                    <w:rPr>
                      <w:rFonts w:ascii="Mute" w:hAnsi="Mute" w:cs="Calibri"/>
                      <w:color w:val="000000"/>
                      <w:sz w:val="20"/>
                      <w:lang w:eastAsia="en-GB"/>
                    </w:rPr>
                  </w:pPr>
                  <w:r w:rsidRPr="00C60C82">
                    <w:rPr>
                      <w:rFonts w:ascii="Mute" w:hAnsi="Mute" w:cs="Calibri"/>
                      <w:color w:val="000000"/>
                      <w:sz w:val="20"/>
                      <w:lang w:eastAsia="en-GB"/>
                    </w:rPr>
                    <w:t>Against</w:t>
                  </w:r>
                </w:p>
              </w:tc>
            </w:tr>
            <w:tr w:rsidR="00C60C82" w:rsidRPr="00C60C82" w14:paraId="2DF68792" w14:textId="77777777" w:rsidTr="00C60C82">
              <w:trPr>
                <w:trHeight w:val="286"/>
              </w:trPr>
              <w:tc>
                <w:tcPr>
                  <w:tcW w:w="2598" w:type="dxa"/>
                  <w:vMerge/>
                  <w:tcBorders>
                    <w:left w:val="nil"/>
                    <w:right w:val="nil"/>
                  </w:tcBorders>
                  <w:shd w:val="clear" w:color="auto" w:fill="auto"/>
                  <w:noWrap/>
                  <w:vAlign w:val="center"/>
                  <w:hideMark/>
                </w:tcPr>
                <w:p w14:paraId="4EEC08B1" w14:textId="77777777" w:rsidR="001D24B6" w:rsidRPr="00C60C82" w:rsidRDefault="001D24B6" w:rsidP="001D24B6">
                  <w:pPr>
                    <w:spacing w:line="240" w:lineRule="auto"/>
                    <w:rPr>
                      <w:rFonts w:ascii="Mute" w:hAnsi="Mute" w:cs="Calibri"/>
                      <w:color w:val="000000"/>
                      <w:sz w:val="20"/>
                      <w:lang w:eastAsia="en-GB"/>
                    </w:rPr>
                  </w:pPr>
                </w:p>
              </w:tc>
              <w:tc>
                <w:tcPr>
                  <w:tcW w:w="8212" w:type="dxa"/>
                  <w:tcBorders>
                    <w:top w:val="nil"/>
                    <w:left w:val="nil"/>
                    <w:bottom w:val="nil"/>
                    <w:right w:val="nil"/>
                  </w:tcBorders>
                  <w:shd w:val="clear" w:color="auto" w:fill="auto"/>
                  <w:noWrap/>
                  <w:vAlign w:val="bottom"/>
                  <w:hideMark/>
                </w:tcPr>
                <w:p w14:paraId="50164F42" w14:textId="77777777" w:rsidR="001D24B6" w:rsidRPr="00C60C82" w:rsidRDefault="001D24B6" w:rsidP="001D24B6">
                  <w:pPr>
                    <w:spacing w:line="240" w:lineRule="auto"/>
                    <w:rPr>
                      <w:rFonts w:ascii="Mute" w:hAnsi="Mute" w:cs="Calibri"/>
                      <w:color w:val="000000"/>
                      <w:sz w:val="20"/>
                      <w:lang w:eastAsia="en-GB"/>
                    </w:rPr>
                  </w:pPr>
                  <w:r w:rsidRPr="00C60C82">
                    <w:rPr>
                      <w:rFonts w:ascii="Mute" w:hAnsi="Mute" w:cs="Calibri"/>
                      <w:color w:val="000000"/>
                      <w:sz w:val="20"/>
                      <w:lang w:eastAsia="en-GB"/>
                    </w:rPr>
                    <w:t>Management Proposal Regarding Election of Directors</w:t>
                  </w:r>
                </w:p>
              </w:tc>
              <w:tc>
                <w:tcPr>
                  <w:tcW w:w="2268" w:type="dxa"/>
                  <w:tcBorders>
                    <w:top w:val="nil"/>
                    <w:left w:val="nil"/>
                    <w:bottom w:val="nil"/>
                    <w:right w:val="nil"/>
                  </w:tcBorders>
                  <w:shd w:val="clear" w:color="auto" w:fill="auto"/>
                  <w:noWrap/>
                  <w:vAlign w:val="bottom"/>
                  <w:hideMark/>
                </w:tcPr>
                <w:p w14:paraId="02EB7278" w14:textId="77777777" w:rsidR="001D24B6" w:rsidRPr="00C60C82" w:rsidRDefault="001D24B6" w:rsidP="001D24B6">
                  <w:pPr>
                    <w:spacing w:line="240" w:lineRule="auto"/>
                    <w:rPr>
                      <w:rFonts w:ascii="Mute" w:hAnsi="Mute" w:cs="Calibri"/>
                      <w:color w:val="000000"/>
                      <w:sz w:val="20"/>
                      <w:lang w:eastAsia="en-GB"/>
                    </w:rPr>
                  </w:pPr>
                  <w:r w:rsidRPr="00C60C82">
                    <w:rPr>
                      <w:rFonts w:ascii="Mute" w:hAnsi="Mute" w:cs="Calibri"/>
                      <w:color w:val="000000"/>
                      <w:sz w:val="20"/>
                      <w:lang w:eastAsia="en-GB"/>
                    </w:rPr>
                    <w:t>Siemens AG</w:t>
                  </w:r>
                </w:p>
              </w:tc>
              <w:tc>
                <w:tcPr>
                  <w:tcW w:w="1276" w:type="dxa"/>
                  <w:tcBorders>
                    <w:top w:val="nil"/>
                    <w:left w:val="nil"/>
                    <w:bottom w:val="nil"/>
                    <w:right w:val="nil"/>
                  </w:tcBorders>
                  <w:shd w:val="clear" w:color="auto" w:fill="auto"/>
                  <w:noWrap/>
                  <w:vAlign w:val="bottom"/>
                  <w:hideMark/>
                </w:tcPr>
                <w:p w14:paraId="1D9310C1" w14:textId="77777777" w:rsidR="001D24B6" w:rsidRPr="00C60C82" w:rsidRDefault="001D24B6" w:rsidP="001D24B6">
                  <w:pPr>
                    <w:spacing w:line="240" w:lineRule="auto"/>
                    <w:rPr>
                      <w:rFonts w:ascii="Mute" w:hAnsi="Mute" w:cs="Calibri"/>
                      <w:color w:val="000000"/>
                      <w:sz w:val="20"/>
                      <w:lang w:eastAsia="en-GB"/>
                    </w:rPr>
                  </w:pPr>
                  <w:r w:rsidRPr="00C60C82">
                    <w:rPr>
                      <w:rFonts w:ascii="Mute" w:hAnsi="Mute" w:cs="Calibri"/>
                      <w:color w:val="000000"/>
                      <w:sz w:val="20"/>
                      <w:lang w:eastAsia="en-GB"/>
                    </w:rPr>
                    <w:t>For</w:t>
                  </w:r>
                </w:p>
              </w:tc>
            </w:tr>
            <w:tr w:rsidR="00C60C82" w:rsidRPr="00C60C82" w14:paraId="06CEF004" w14:textId="77777777" w:rsidTr="00C60C82">
              <w:trPr>
                <w:trHeight w:val="286"/>
              </w:trPr>
              <w:tc>
                <w:tcPr>
                  <w:tcW w:w="2598" w:type="dxa"/>
                  <w:vMerge/>
                  <w:tcBorders>
                    <w:left w:val="nil"/>
                    <w:bottom w:val="nil"/>
                    <w:right w:val="nil"/>
                  </w:tcBorders>
                  <w:shd w:val="clear" w:color="auto" w:fill="auto"/>
                  <w:noWrap/>
                  <w:vAlign w:val="center"/>
                  <w:hideMark/>
                </w:tcPr>
                <w:p w14:paraId="65BBB325" w14:textId="77777777" w:rsidR="001D24B6" w:rsidRPr="00C60C82" w:rsidRDefault="001D24B6" w:rsidP="001D24B6">
                  <w:pPr>
                    <w:spacing w:line="240" w:lineRule="auto"/>
                    <w:rPr>
                      <w:rFonts w:ascii="Mute" w:hAnsi="Mute" w:cs="Calibri"/>
                      <w:color w:val="000000"/>
                      <w:sz w:val="20"/>
                      <w:lang w:eastAsia="en-GB"/>
                    </w:rPr>
                  </w:pPr>
                </w:p>
              </w:tc>
              <w:tc>
                <w:tcPr>
                  <w:tcW w:w="8212" w:type="dxa"/>
                  <w:tcBorders>
                    <w:top w:val="nil"/>
                    <w:left w:val="nil"/>
                    <w:bottom w:val="nil"/>
                    <w:right w:val="nil"/>
                  </w:tcBorders>
                  <w:shd w:val="clear" w:color="auto" w:fill="auto"/>
                  <w:noWrap/>
                  <w:vAlign w:val="bottom"/>
                  <w:hideMark/>
                </w:tcPr>
                <w:p w14:paraId="6CD47ABD" w14:textId="77777777" w:rsidR="001D24B6" w:rsidRPr="00C60C82" w:rsidRDefault="001D24B6" w:rsidP="001D24B6">
                  <w:pPr>
                    <w:spacing w:line="240" w:lineRule="auto"/>
                    <w:rPr>
                      <w:rFonts w:ascii="Mute" w:hAnsi="Mute" w:cs="Times New Roman"/>
                      <w:sz w:val="20"/>
                      <w:lang w:eastAsia="en-GB"/>
                    </w:rPr>
                  </w:pPr>
                </w:p>
              </w:tc>
              <w:tc>
                <w:tcPr>
                  <w:tcW w:w="2268" w:type="dxa"/>
                  <w:tcBorders>
                    <w:top w:val="nil"/>
                    <w:left w:val="nil"/>
                    <w:bottom w:val="nil"/>
                    <w:right w:val="nil"/>
                  </w:tcBorders>
                  <w:shd w:val="clear" w:color="auto" w:fill="auto"/>
                  <w:noWrap/>
                  <w:vAlign w:val="bottom"/>
                  <w:hideMark/>
                </w:tcPr>
                <w:p w14:paraId="2E759EDF" w14:textId="77777777" w:rsidR="001D24B6" w:rsidRPr="00C60C82" w:rsidRDefault="001D24B6" w:rsidP="001D24B6">
                  <w:pPr>
                    <w:spacing w:line="240" w:lineRule="auto"/>
                    <w:rPr>
                      <w:rFonts w:ascii="Mute" w:hAnsi="Mute" w:cs="Times New Roman"/>
                      <w:sz w:val="20"/>
                      <w:lang w:eastAsia="en-GB"/>
                    </w:rPr>
                  </w:pPr>
                </w:p>
              </w:tc>
              <w:tc>
                <w:tcPr>
                  <w:tcW w:w="1276" w:type="dxa"/>
                  <w:tcBorders>
                    <w:top w:val="nil"/>
                    <w:left w:val="nil"/>
                    <w:bottom w:val="nil"/>
                    <w:right w:val="nil"/>
                  </w:tcBorders>
                  <w:shd w:val="clear" w:color="auto" w:fill="auto"/>
                  <w:noWrap/>
                  <w:vAlign w:val="bottom"/>
                  <w:hideMark/>
                </w:tcPr>
                <w:p w14:paraId="715C8E60" w14:textId="77777777" w:rsidR="001D24B6" w:rsidRPr="00C60C82" w:rsidRDefault="001D24B6" w:rsidP="001D24B6">
                  <w:pPr>
                    <w:spacing w:line="240" w:lineRule="auto"/>
                    <w:rPr>
                      <w:rFonts w:ascii="Mute" w:hAnsi="Mute" w:cs="Times New Roman"/>
                      <w:sz w:val="20"/>
                      <w:lang w:eastAsia="en-GB"/>
                    </w:rPr>
                  </w:pPr>
                </w:p>
              </w:tc>
            </w:tr>
            <w:tr w:rsidR="00C60C82" w:rsidRPr="00C60C82" w14:paraId="5E674B94" w14:textId="77777777" w:rsidTr="00C60C82">
              <w:trPr>
                <w:trHeight w:val="286"/>
              </w:trPr>
              <w:tc>
                <w:tcPr>
                  <w:tcW w:w="2598" w:type="dxa"/>
                  <w:tcBorders>
                    <w:top w:val="nil"/>
                    <w:left w:val="nil"/>
                    <w:bottom w:val="nil"/>
                    <w:right w:val="nil"/>
                  </w:tcBorders>
                  <w:shd w:val="clear" w:color="auto" w:fill="auto"/>
                  <w:noWrap/>
                  <w:vAlign w:val="center"/>
                  <w:hideMark/>
                </w:tcPr>
                <w:p w14:paraId="4BDA75BC" w14:textId="77777777" w:rsidR="001D24B6" w:rsidRPr="00C60C82" w:rsidRDefault="001D24B6" w:rsidP="001D24B6">
                  <w:pPr>
                    <w:spacing w:line="240" w:lineRule="auto"/>
                    <w:rPr>
                      <w:rFonts w:ascii="Mute" w:hAnsi="Mute" w:cs="Times New Roman"/>
                      <w:sz w:val="20"/>
                      <w:lang w:eastAsia="en-GB"/>
                    </w:rPr>
                  </w:pPr>
                </w:p>
              </w:tc>
              <w:tc>
                <w:tcPr>
                  <w:tcW w:w="8212" w:type="dxa"/>
                  <w:tcBorders>
                    <w:top w:val="nil"/>
                    <w:left w:val="nil"/>
                    <w:bottom w:val="nil"/>
                    <w:right w:val="nil"/>
                  </w:tcBorders>
                  <w:shd w:val="clear" w:color="auto" w:fill="auto"/>
                  <w:noWrap/>
                  <w:vAlign w:val="bottom"/>
                  <w:hideMark/>
                </w:tcPr>
                <w:p w14:paraId="16E3948D" w14:textId="77777777" w:rsidR="001D24B6" w:rsidRPr="00C60C82" w:rsidRDefault="001D24B6" w:rsidP="001D24B6">
                  <w:pPr>
                    <w:spacing w:line="240" w:lineRule="auto"/>
                    <w:rPr>
                      <w:rFonts w:ascii="Mute" w:hAnsi="Mute" w:cs="Times New Roman"/>
                      <w:sz w:val="20"/>
                      <w:lang w:eastAsia="en-GB"/>
                    </w:rPr>
                  </w:pPr>
                </w:p>
              </w:tc>
              <w:tc>
                <w:tcPr>
                  <w:tcW w:w="2268" w:type="dxa"/>
                  <w:tcBorders>
                    <w:top w:val="nil"/>
                    <w:left w:val="nil"/>
                    <w:bottom w:val="nil"/>
                    <w:right w:val="nil"/>
                  </w:tcBorders>
                  <w:shd w:val="clear" w:color="auto" w:fill="auto"/>
                  <w:noWrap/>
                  <w:vAlign w:val="bottom"/>
                  <w:hideMark/>
                </w:tcPr>
                <w:p w14:paraId="33C6A43D" w14:textId="77777777" w:rsidR="001D24B6" w:rsidRPr="00C60C82" w:rsidRDefault="001D24B6" w:rsidP="001D24B6">
                  <w:pPr>
                    <w:spacing w:line="240" w:lineRule="auto"/>
                    <w:rPr>
                      <w:rFonts w:ascii="Mute" w:hAnsi="Mute" w:cs="Times New Roman"/>
                      <w:sz w:val="20"/>
                      <w:lang w:eastAsia="en-GB"/>
                    </w:rPr>
                  </w:pPr>
                </w:p>
              </w:tc>
              <w:tc>
                <w:tcPr>
                  <w:tcW w:w="1276" w:type="dxa"/>
                  <w:tcBorders>
                    <w:top w:val="nil"/>
                    <w:left w:val="nil"/>
                    <w:bottom w:val="nil"/>
                    <w:right w:val="nil"/>
                  </w:tcBorders>
                  <w:shd w:val="clear" w:color="auto" w:fill="auto"/>
                  <w:noWrap/>
                  <w:vAlign w:val="bottom"/>
                  <w:hideMark/>
                </w:tcPr>
                <w:p w14:paraId="669788C8" w14:textId="77777777" w:rsidR="001D24B6" w:rsidRPr="00C60C82" w:rsidRDefault="001D24B6" w:rsidP="001D24B6">
                  <w:pPr>
                    <w:spacing w:line="240" w:lineRule="auto"/>
                    <w:rPr>
                      <w:rFonts w:ascii="Mute" w:hAnsi="Mute" w:cs="Times New Roman"/>
                      <w:sz w:val="20"/>
                      <w:lang w:eastAsia="en-GB"/>
                    </w:rPr>
                  </w:pPr>
                </w:p>
              </w:tc>
            </w:tr>
            <w:tr w:rsidR="00C60C82" w:rsidRPr="00C60C82" w14:paraId="66737D36" w14:textId="77777777" w:rsidTr="00C60C82">
              <w:trPr>
                <w:trHeight w:val="286"/>
              </w:trPr>
              <w:tc>
                <w:tcPr>
                  <w:tcW w:w="2598" w:type="dxa"/>
                  <w:vMerge w:val="restart"/>
                  <w:tcBorders>
                    <w:top w:val="single" w:sz="4" w:space="0" w:color="00B0F0"/>
                    <w:left w:val="nil"/>
                    <w:right w:val="nil"/>
                  </w:tcBorders>
                  <w:shd w:val="clear" w:color="auto" w:fill="auto"/>
                  <w:noWrap/>
                  <w:vAlign w:val="center"/>
                  <w:hideMark/>
                </w:tcPr>
                <w:p w14:paraId="58867D1D" w14:textId="77777777" w:rsidR="001D24B6" w:rsidRPr="00C60C82" w:rsidRDefault="001D24B6" w:rsidP="001D24B6">
                  <w:pPr>
                    <w:spacing w:line="240" w:lineRule="auto"/>
                    <w:rPr>
                      <w:rFonts w:ascii="Mute" w:hAnsi="Mute" w:cs="Calibri"/>
                      <w:b/>
                      <w:bCs/>
                      <w:color w:val="000000"/>
                      <w:sz w:val="20"/>
                      <w:lang w:eastAsia="en-GB"/>
                    </w:rPr>
                  </w:pPr>
                  <w:r w:rsidRPr="00C60C82">
                    <w:rPr>
                      <w:rFonts w:ascii="Mute" w:hAnsi="Mute" w:cs="Calibri"/>
                      <w:b/>
                      <w:bCs/>
                      <w:color w:val="000000"/>
                      <w:sz w:val="20"/>
                      <w:lang w:eastAsia="en-GB"/>
                    </w:rPr>
                    <w:t>MGI UK Equity Fund</w:t>
                  </w:r>
                </w:p>
              </w:tc>
              <w:tc>
                <w:tcPr>
                  <w:tcW w:w="8212" w:type="dxa"/>
                  <w:tcBorders>
                    <w:top w:val="single" w:sz="4" w:space="0" w:color="00B0F0"/>
                    <w:left w:val="nil"/>
                    <w:bottom w:val="nil"/>
                    <w:right w:val="nil"/>
                  </w:tcBorders>
                  <w:shd w:val="clear" w:color="auto" w:fill="auto"/>
                  <w:noWrap/>
                  <w:vAlign w:val="bottom"/>
                  <w:hideMark/>
                </w:tcPr>
                <w:p w14:paraId="3A7AA484" w14:textId="77777777" w:rsidR="001D24B6" w:rsidRPr="00C60C82" w:rsidRDefault="001D24B6" w:rsidP="001D24B6">
                  <w:pPr>
                    <w:spacing w:line="240" w:lineRule="auto"/>
                    <w:rPr>
                      <w:rFonts w:ascii="Mute" w:hAnsi="Mute" w:cs="Calibri"/>
                      <w:color w:val="000000"/>
                      <w:sz w:val="20"/>
                      <w:lang w:eastAsia="en-GB"/>
                    </w:rPr>
                  </w:pPr>
                  <w:r w:rsidRPr="00C60C82">
                    <w:rPr>
                      <w:rFonts w:ascii="Mute" w:hAnsi="Mute" w:cs="Calibri"/>
                      <w:color w:val="000000"/>
                      <w:sz w:val="20"/>
                      <w:lang w:eastAsia="en-GB"/>
                    </w:rPr>
                    <w:t>Management Proposal Regarding Approval of Climate Transition Action Plan</w:t>
                  </w:r>
                </w:p>
              </w:tc>
              <w:tc>
                <w:tcPr>
                  <w:tcW w:w="2268" w:type="dxa"/>
                  <w:tcBorders>
                    <w:top w:val="single" w:sz="4" w:space="0" w:color="00B0F0"/>
                    <w:left w:val="nil"/>
                    <w:bottom w:val="nil"/>
                    <w:right w:val="nil"/>
                  </w:tcBorders>
                  <w:shd w:val="clear" w:color="auto" w:fill="auto"/>
                  <w:noWrap/>
                  <w:vAlign w:val="bottom"/>
                  <w:hideMark/>
                </w:tcPr>
                <w:p w14:paraId="0E0633C6" w14:textId="77777777" w:rsidR="001D24B6" w:rsidRPr="00C60C82" w:rsidRDefault="001D24B6" w:rsidP="001D24B6">
                  <w:pPr>
                    <w:spacing w:line="240" w:lineRule="auto"/>
                    <w:rPr>
                      <w:rFonts w:ascii="Mute" w:hAnsi="Mute" w:cs="Calibri"/>
                      <w:color w:val="000000"/>
                      <w:sz w:val="20"/>
                      <w:lang w:eastAsia="en-GB"/>
                    </w:rPr>
                  </w:pPr>
                  <w:r w:rsidRPr="00C60C82">
                    <w:rPr>
                      <w:rFonts w:ascii="Mute" w:hAnsi="Mute" w:cs="Calibri"/>
                      <w:color w:val="000000"/>
                      <w:sz w:val="20"/>
                      <w:lang w:eastAsia="en-GB"/>
                    </w:rPr>
                    <w:t>BHP Group plc</w:t>
                  </w:r>
                </w:p>
              </w:tc>
              <w:tc>
                <w:tcPr>
                  <w:tcW w:w="1276" w:type="dxa"/>
                  <w:tcBorders>
                    <w:top w:val="single" w:sz="4" w:space="0" w:color="00B0F0"/>
                    <w:left w:val="nil"/>
                    <w:bottom w:val="nil"/>
                    <w:right w:val="nil"/>
                  </w:tcBorders>
                  <w:shd w:val="clear" w:color="auto" w:fill="auto"/>
                  <w:noWrap/>
                  <w:vAlign w:val="bottom"/>
                  <w:hideMark/>
                </w:tcPr>
                <w:p w14:paraId="1EFCE1E9" w14:textId="77777777" w:rsidR="001D24B6" w:rsidRPr="00C60C82" w:rsidRDefault="001D24B6" w:rsidP="001D24B6">
                  <w:pPr>
                    <w:spacing w:line="240" w:lineRule="auto"/>
                    <w:rPr>
                      <w:rFonts w:ascii="Mute" w:hAnsi="Mute" w:cs="Calibri"/>
                      <w:sz w:val="20"/>
                      <w:lang w:eastAsia="en-GB"/>
                    </w:rPr>
                  </w:pPr>
                  <w:r w:rsidRPr="00C60C82">
                    <w:rPr>
                      <w:rFonts w:ascii="Mute" w:hAnsi="Mute" w:cs="Calibri"/>
                      <w:sz w:val="20"/>
                      <w:lang w:eastAsia="en-GB"/>
                    </w:rPr>
                    <w:t>Against</w:t>
                  </w:r>
                </w:p>
              </w:tc>
            </w:tr>
            <w:tr w:rsidR="00C60C82" w:rsidRPr="00C60C82" w14:paraId="68E4FF22" w14:textId="77777777" w:rsidTr="00C60C82">
              <w:trPr>
                <w:trHeight w:val="286"/>
              </w:trPr>
              <w:tc>
                <w:tcPr>
                  <w:tcW w:w="2598" w:type="dxa"/>
                  <w:vMerge/>
                  <w:tcBorders>
                    <w:left w:val="nil"/>
                    <w:right w:val="nil"/>
                  </w:tcBorders>
                  <w:shd w:val="clear" w:color="auto" w:fill="auto"/>
                  <w:noWrap/>
                  <w:vAlign w:val="bottom"/>
                  <w:hideMark/>
                </w:tcPr>
                <w:p w14:paraId="77976B16" w14:textId="77777777" w:rsidR="001D24B6" w:rsidRPr="00C60C82" w:rsidRDefault="001D24B6" w:rsidP="001D24B6">
                  <w:pPr>
                    <w:spacing w:line="240" w:lineRule="auto"/>
                    <w:rPr>
                      <w:rFonts w:ascii="Mute" w:hAnsi="Mute" w:cs="Calibri"/>
                      <w:color w:val="FF0000"/>
                      <w:sz w:val="20"/>
                      <w:lang w:eastAsia="en-GB"/>
                    </w:rPr>
                  </w:pPr>
                </w:p>
              </w:tc>
              <w:tc>
                <w:tcPr>
                  <w:tcW w:w="8212" w:type="dxa"/>
                  <w:tcBorders>
                    <w:top w:val="nil"/>
                    <w:left w:val="nil"/>
                    <w:bottom w:val="nil"/>
                    <w:right w:val="nil"/>
                  </w:tcBorders>
                  <w:shd w:val="clear" w:color="auto" w:fill="auto"/>
                  <w:noWrap/>
                  <w:vAlign w:val="bottom"/>
                  <w:hideMark/>
                </w:tcPr>
                <w:p w14:paraId="06F42F78" w14:textId="77777777" w:rsidR="001D24B6" w:rsidRPr="00C60C82" w:rsidRDefault="001D24B6" w:rsidP="001D24B6">
                  <w:pPr>
                    <w:spacing w:line="240" w:lineRule="auto"/>
                    <w:rPr>
                      <w:rFonts w:ascii="Mute" w:hAnsi="Mute" w:cs="Calibri"/>
                      <w:color w:val="000000"/>
                      <w:sz w:val="20"/>
                      <w:lang w:eastAsia="en-GB"/>
                    </w:rPr>
                  </w:pPr>
                  <w:r w:rsidRPr="00C60C82">
                    <w:rPr>
                      <w:rFonts w:ascii="Mute" w:hAnsi="Mute" w:cs="Calibri"/>
                      <w:color w:val="000000"/>
                      <w:sz w:val="20"/>
                      <w:lang w:eastAsia="en-GB"/>
                    </w:rPr>
                    <w:t xml:space="preserve">Shareholder Proposal Regarding Disclosure Concerning Coal, Oil and Gas Assets  </w:t>
                  </w:r>
                </w:p>
              </w:tc>
              <w:tc>
                <w:tcPr>
                  <w:tcW w:w="2268" w:type="dxa"/>
                  <w:tcBorders>
                    <w:top w:val="nil"/>
                    <w:left w:val="nil"/>
                    <w:bottom w:val="nil"/>
                    <w:right w:val="nil"/>
                  </w:tcBorders>
                  <w:shd w:val="clear" w:color="auto" w:fill="auto"/>
                  <w:noWrap/>
                  <w:vAlign w:val="bottom"/>
                  <w:hideMark/>
                </w:tcPr>
                <w:p w14:paraId="60CDC776" w14:textId="77777777" w:rsidR="001D24B6" w:rsidRPr="00C60C82" w:rsidRDefault="001D24B6" w:rsidP="001D24B6">
                  <w:pPr>
                    <w:spacing w:line="240" w:lineRule="auto"/>
                    <w:rPr>
                      <w:rFonts w:ascii="Mute" w:hAnsi="Mute" w:cs="Calibri"/>
                      <w:color w:val="000000"/>
                      <w:sz w:val="20"/>
                      <w:lang w:eastAsia="en-GB"/>
                    </w:rPr>
                  </w:pPr>
                  <w:r w:rsidRPr="00C60C82">
                    <w:rPr>
                      <w:rFonts w:ascii="Mute" w:hAnsi="Mute" w:cs="Calibri"/>
                      <w:color w:val="000000"/>
                      <w:sz w:val="20"/>
                      <w:lang w:eastAsia="en-GB"/>
                    </w:rPr>
                    <w:t>BHP Group plc</w:t>
                  </w:r>
                </w:p>
              </w:tc>
              <w:tc>
                <w:tcPr>
                  <w:tcW w:w="1276" w:type="dxa"/>
                  <w:tcBorders>
                    <w:top w:val="nil"/>
                    <w:left w:val="nil"/>
                    <w:bottom w:val="nil"/>
                    <w:right w:val="nil"/>
                  </w:tcBorders>
                  <w:shd w:val="clear" w:color="auto" w:fill="auto"/>
                  <w:noWrap/>
                  <w:vAlign w:val="bottom"/>
                  <w:hideMark/>
                </w:tcPr>
                <w:p w14:paraId="5169F4E6" w14:textId="77777777" w:rsidR="001D24B6" w:rsidRPr="00C60C82" w:rsidRDefault="001D24B6" w:rsidP="001D24B6">
                  <w:pPr>
                    <w:spacing w:line="240" w:lineRule="auto"/>
                    <w:rPr>
                      <w:rFonts w:ascii="Mute" w:hAnsi="Mute" w:cs="Calibri"/>
                      <w:sz w:val="20"/>
                      <w:lang w:eastAsia="en-GB"/>
                    </w:rPr>
                  </w:pPr>
                  <w:r w:rsidRPr="00C60C82">
                    <w:rPr>
                      <w:rFonts w:ascii="Mute" w:hAnsi="Mute" w:cs="Calibri"/>
                      <w:sz w:val="20"/>
                      <w:lang w:eastAsia="en-GB"/>
                    </w:rPr>
                    <w:t>Against</w:t>
                  </w:r>
                </w:p>
              </w:tc>
            </w:tr>
            <w:tr w:rsidR="00C60C82" w:rsidRPr="00C60C82" w14:paraId="511D496C" w14:textId="77777777" w:rsidTr="00C60C82">
              <w:trPr>
                <w:trHeight w:val="286"/>
              </w:trPr>
              <w:tc>
                <w:tcPr>
                  <w:tcW w:w="2598" w:type="dxa"/>
                  <w:vMerge/>
                  <w:tcBorders>
                    <w:left w:val="nil"/>
                    <w:bottom w:val="nil"/>
                    <w:right w:val="nil"/>
                  </w:tcBorders>
                  <w:shd w:val="clear" w:color="auto" w:fill="auto"/>
                  <w:noWrap/>
                  <w:vAlign w:val="bottom"/>
                  <w:hideMark/>
                </w:tcPr>
                <w:p w14:paraId="341CA48D" w14:textId="77777777" w:rsidR="001D24B6" w:rsidRPr="00C60C82" w:rsidRDefault="001D24B6" w:rsidP="001D24B6">
                  <w:pPr>
                    <w:spacing w:line="240" w:lineRule="auto"/>
                    <w:rPr>
                      <w:rFonts w:ascii="Mute" w:hAnsi="Mute" w:cs="Calibri"/>
                      <w:color w:val="FF0000"/>
                      <w:sz w:val="20"/>
                      <w:lang w:eastAsia="en-GB"/>
                    </w:rPr>
                  </w:pPr>
                </w:p>
              </w:tc>
              <w:tc>
                <w:tcPr>
                  <w:tcW w:w="8212" w:type="dxa"/>
                  <w:tcBorders>
                    <w:top w:val="nil"/>
                    <w:left w:val="nil"/>
                    <w:bottom w:val="nil"/>
                    <w:right w:val="nil"/>
                  </w:tcBorders>
                  <w:shd w:val="clear" w:color="auto" w:fill="auto"/>
                  <w:noWrap/>
                  <w:vAlign w:val="bottom"/>
                  <w:hideMark/>
                </w:tcPr>
                <w:p w14:paraId="49E18FF6" w14:textId="77777777" w:rsidR="001D24B6" w:rsidRPr="00C60C82" w:rsidRDefault="001D24B6" w:rsidP="001D24B6">
                  <w:pPr>
                    <w:spacing w:line="240" w:lineRule="auto"/>
                    <w:rPr>
                      <w:rFonts w:ascii="Mute" w:hAnsi="Mute" w:cs="Calibri"/>
                      <w:color w:val="000000"/>
                      <w:sz w:val="20"/>
                      <w:lang w:eastAsia="en-GB"/>
                    </w:rPr>
                  </w:pPr>
                  <w:r w:rsidRPr="00C60C82">
                    <w:rPr>
                      <w:rFonts w:ascii="Mute" w:hAnsi="Mute" w:cs="Calibri"/>
                      <w:color w:val="000000"/>
                      <w:sz w:val="20"/>
                      <w:lang w:eastAsia="en-GB"/>
                    </w:rPr>
                    <w:t>Shareholder Proposal Regarding Lobbying Activity Alignment with the Paris Agreement</w:t>
                  </w:r>
                </w:p>
              </w:tc>
              <w:tc>
                <w:tcPr>
                  <w:tcW w:w="2268" w:type="dxa"/>
                  <w:tcBorders>
                    <w:top w:val="nil"/>
                    <w:left w:val="nil"/>
                    <w:bottom w:val="nil"/>
                    <w:right w:val="nil"/>
                  </w:tcBorders>
                  <w:shd w:val="clear" w:color="auto" w:fill="auto"/>
                  <w:noWrap/>
                  <w:vAlign w:val="bottom"/>
                  <w:hideMark/>
                </w:tcPr>
                <w:p w14:paraId="6D5CA8EE" w14:textId="77777777" w:rsidR="001D24B6" w:rsidRPr="00C60C82" w:rsidRDefault="001D24B6" w:rsidP="001D24B6">
                  <w:pPr>
                    <w:spacing w:line="240" w:lineRule="auto"/>
                    <w:rPr>
                      <w:rFonts w:ascii="Mute" w:hAnsi="Mute" w:cs="Calibri"/>
                      <w:color w:val="000000"/>
                      <w:sz w:val="20"/>
                      <w:lang w:eastAsia="en-GB"/>
                    </w:rPr>
                  </w:pPr>
                  <w:r w:rsidRPr="00C60C82">
                    <w:rPr>
                      <w:rFonts w:ascii="Mute" w:hAnsi="Mute" w:cs="Calibri"/>
                      <w:color w:val="000000"/>
                      <w:sz w:val="20"/>
                      <w:lang w:eastAsia="en-GB"/>
                    </w:rPr>
                    <w:t>BHP Group plc</w:t>
                  </w:r>
                </w:p>
              </w:tc>
              <w:tc>
                <w:tcPr>
                  <w:tcW w:w="1276" w:type="dxa"/>
                  <w:tcBorders>
                    <w:top w:val="nil"/>
                    <w:left w:val="nil"/>
                    <w:bottom w:val="nil"/>
                    <w:right w:val="nil"/>
                  </w:tcBorders>
                  <w:shd w:val="clear" w:color="auto" w:fill="auto"/>
                  <w:noWrap/>
                  <w:vAlign w:val="bottom"/>
                  <w:hideMark/>
                </w:tcPr>
                <w:p w14:paraId="16C9A721" w14:textId="77777777" w:rsidR="001D24B6" w:rsidRPr="00C60C82" w:rsidRDefault="001D24B6" w:rsidP="001D24B6">
                  <w:pPr>
                    <w:spacing w:line="240" w:lineRule="auto"/>
                    <w:rPr>
                      <w:rFonts w:ascii="Mute" w:hAnsi="Mute" w:cs="Calibri"/>
                      <w:sz w:val="20"/>
                      <w:lang w:eastAsia="en-GB"/>
                    </w:rPr>
                  </w:pPr>
                  <w:r w:rsidRPr="00C60C82">
                    <w:rPr>
                      <w:rFonts w:ascii="Mute" w:hAnsi="Mute" w:cs="Calibri"/>
                      <w:sz w:val="20"/>
                      <w:lang w:eastAsia="en-GB"/>
                    </w:rPr>
                    <w:t>For</w:t>
                  </w:r>
                </w:p>
              </w:tc>
            </w:tr>
          </w:tbl>
          <w:p w14:paraId="10ADAC45" w14:textId="77777777" w:rsidR="001D24B6" w:rsidRPr="00C60C82" w:rsidRDefault="001D24B6" w:rsidP="0066796E">
            <w:pPr>
              <w:spacing w:line="240" w:lineRule="auto"/>
              <w:rPr>
                <w:rFonts w:ascii="Mute" w:hAnsi="Mute" w:cs="Calibri"/>
                <w:sz w:val="20"/>
                <w:lang w:eastAsia="en-GB"/>
              </w:rPr>
            </w:pPr>
          </w:p>
        </w:tc>
        <w:tc>
          <w:tcPr>
            <w:tcW w:w="8895" w:type="dxa"/>
            <w:tcBorders>
              <w:top w:val="nil"/>
              <w:left w:val="nil"/>
              <w:bottom w:val="nil"/>
              <w:right w:val="nil"/>
            </w:tcBorders>
            <w:shd w:val="clear" w:color="auto" w:fill="auto"/>
            <w:noWrap/>
            <w:vAlign w:val="bottom"/>
            <w:hideMark/>
          </w:tcPr>
          <w:p w14:paraId="71B69021" w14:textId="77777777" w:rsidR="001D24B6" w:rsidRPr="00C60C82" w:rsidRDefault="001D24B6" w:rsidP="0066796E">
            <w:pPr>
              <w:spacing w:line="240" w:lineRule="auto"/>
              <w:rPr>
                <w:rFonts w:ascii="Mute" w:hAnsi="Mute" w:cs="Times New Roman"/>
                <w:sz w:val="20"/>
                <w:lang w:eastAsia="en-GB"/>
              </w:rPr>
            </w:pPr>
          </w:p>
        </w:tc>
        <w:tc>
          <w:tcPr>
            <w:tcW w:w="2417" w:type="dxa"/>
            <w:tcBorders>
              <w:top w:val="nil"/>
              <w:left w:val="nil"/>
              <w:bottom w:val="nil"/>
              <w:right w:val="nil"/>
            </w:tcBorders>
            <w:shd w:val="clear" w:color="auto" w:fill="auto"/>
            <w:noWrap/>
            <w:vAlign w:val="bottom"/>
            <w:hideMark/>
          </w:tcPr>
          <w:p w14:paraId="03C4439E" w14:textId="77777777" w:rsidR="001D24B6" w:rsidRPr="00C60C82" w:rsidRDefault="001D24B6" w:rsidP="0066796E">
            <w:pPr>
              <w:spacing w:line="240" w:lineRule="auto"/>
              <w:rPr>
                <w:rFonts w:ascii="Mute" w:hAnsi="Mute" w:cs="Times New Roman"/>
                <w:sz w:val="20"/>
                <w:lang w:eastAsia="en-GB"/>
              </w:rPr>
            </w:pPr>
          </w:p>
        </w:tc>
        <w:tc>
          <w:tcPr>
            <w:tcW w:w="1297" w:type="dxa"/>
            <w:tcBorders>
              <w:top w:val="nil"/>
              <w:left w:val="nil"/>
              <w:bottom w:val="nil"/>
              <w:right w:val="nil"/>
            </w:tcBorders>
            <w:shd w:val="clear" w:color="auto" w:fill="auto"/>
            <w:noWrap/>
            <w:vAlign w:val="bottom"/>
            <w:hideMark/>
          </w:tcPr>
          <w:p w14:paraId="1B62C12B" w14:textId="77777777" w:rsidR="001D24B6" w:rsidRPr="00C60C82" w:rsidRDefault="001D24B6" w:rsidP="0066796E">
            <w:pPr>
              <w:spacing w:line="240" w:lineRule="auto"/>
              <w:rPr>
                <w:rFonts w:ascii="Mute" w:hAnsi="Mute" w:cs="Times New Roman"/>
                <w:sz w:val="20"/>
                <w:lang w:eastAsia="en-GB"/>
              </w:rPr>
            </w:pPr>
          </w:p>
        </w:tc>
      </w:tr>
    </w:tbl>
    <w:p w14:paraId="46DDEC4D" w14:textId="77777777" w:rsidR="0066796E" w:rsidRPr="0066796E" w:rsidRDefault="0066796E" w:rsidP="0066796E">
      <w:pPr>
        <w:rPr>
          <w:rFonts w:ascii="Mute" w:hAnsi="Mute"/>
          <w:color w:val="1F497D" w:themeColor="text2"/>
          <w:sz w:val="20"/>
        </w:rPr>
      </w:pPr>
    </w:p>
    <w:p w14:paraId="4ABF1805" w14:textId="77777777" w:rsidR="0066796E" w:rsidRPr="0066796E" w:rsidRDefault="0066796E" w:rsidP="0066796E">
      <w:r w:rsidRPr="0066796E">
        <w:rPr>
          <w:rFonts w:ascii="Mute Light" w:hAnsi="Mute Light"/>
          <w:i/>
          <w:color w:val="1F497D" w:themeColor="text2"/>
          <w:sz w:val="16"/>
          <w:szCs w:val="16"/>
        </w:rPr>
        <w:t>** In instances where significant shareholder proposals were not available over the period, management proposals were selected considering holding size and proposal matter</w:t>
      </w:r>
    </w:p>
    <w:p w14:paraId="40EA379D" w14:textId="74644CA9" w:rsidR="0066796E" w:rsidRPr="002E1025" w:rsidRDefault="0066796E" w:rsidP="001D24B6">
      <w:pPr>
        <w:spacing w:line="240" w:lineRule="auto"/>
      </w:pPr>
    </w:p>
    <w:sectPr w:rsidR="0066796E" w:rsidRPr="002E1025" w:rsidSect="000F7DA0">
      <w:pgSz w:w="16838" w:h="11906" w:orient="landscape" w:code="9"/>
      <w:pgMar w:top="993" w:right="1440" w:bottom="748" w:left="993" w:header="544" w:footer="1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76CEE" w14:textId="77777777" w:rsidR="0066796E" w:rsidRDefault="0066796E">
      <w:r>
        <w:separator/>
      </w:r>
    </w:p>
  </w:endnote>
  <w:endnote w:type="continuationSeparator" w:id="0">
    <w:p w14:paraId="516B18BF" w14:textId="77777777" w:rsidR="0066796E" w:rsidRDefault="0066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te">
    <w:panose1 w:val="00000800000000000000"/>
    <w:charset w:val="00"/>
    <w:family w:val="modern"/>
    <w:notTrueType/>
    <w:pitch w:val="variable"/>
    <w:sig w:usb0="00000007" w:usb1="00000000" w:usb2="00000000" w:usb3="00000000" w:csb0="00000003" w:csb1="00000000"/>
  </w:font>
  <w:font w:name="Mute Light">
    <w:panose1 w:val="00000800000000000000"/>
    <w:charset w:val="00"/>
    <w:family w:val="modern"/>
    <w:notTrueType/>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rifo S">
    <w:panose1 w:val="02050803090505060204"/>
    <w:charset w:val="00"/>
    <w:family w:val="roma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3EAD8" w14:textId="77777777" w:rsidR="0066796E" w:rsidRDefault="0066796E">
      <w:r>
        <w:separator/>
      </w:r>
    </w:p>
  </w:footnote>
  <w:footnote w:type="continuationSeparator" w:id="0">
    <w:p w14:paraId="00AEA9B5" w14:textId="77777777" w:rsidR="0066796E" w:rsidRDefault="00667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D7E546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3B27219"/>
    <w:multiLevelType w:val="multilevel"/>
    <w:tmpl w:val="B498A1D0"/>
    <w:name w:val="SectionStart"/>
    <w:lvl w:ilvl="0">
      <w:start w:val="1"/>
      <w:numFmt w:val="decimal"/>
      <w:lvlRestart w:val="0"/>
      <w:lvlText w:val="%1"/>
      <w:lvlJc w:val="left"/>
      <w:pPr>
        <w:tabs>
          <w:tab w:val="num" w:pos="360"/>
        </w:tabs>
        <w:ind w:left="360" w:hanging="18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B645B3"/>
    <w:multiLevelType w:val="hybridMultilevel"/>
    <w:tmpl w:val="607C0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EE50DD"/>
    <w:multiLevelType w:val="hybridMultilevel"/>
    <w:tmpl w:val="36F6FA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131DE6"/>
    <w:multiLevelType w:val="hybridMultilevel"/>
    <w:tmpl w:val="814E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0685A"/>
    <w:multiLevelType w:val="multilevel"/>
    <w:tmpl w:val="02968660"/>
    <w:name w:val="Appendix"/>
    <w:lvl w:ilvl="0">
      <w:start w:val="1"/>
      <w:numFmt w:val="upperLetter"/>
      <w:lvlRestart w:val="0"/>
      <w:lvlText w:val="Appendix: %1."/>
      <w:lvlJc w:val="left"/>
      <w:pPr>
        <w:tabs>
          <w:tab w:val="num" w:pos="360"/>
        </w:tabs>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412243"/>
    <w:multiLevelType w:val="hybridMultilevel"/>
    <w:tmpl w:val="C032B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AE3322"/>
    <w:multiLevelType w:val="multilevel"/>
    <w:tmpl w:val="2FEE1068"/>
    <w:name w:val="HeadingNumberDo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720"/>
        </w:tabs>
        <w:ind w:left="720" w:hanging="72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8" w15:restartNumberingAfterBreak="0">
    <w:nsid w:val="1C3C6B96"/>
    <w:multiLevelType w:val="multilevel"/>
    <w:tmpl w:val="49EC7508"/>
    <w:name w:val="S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9" w15:restartNumberingAfterBreak="0">
    <w:nsid w:val="1DBF6421"/>
    <w:multiLevelType w:val="multilevel"/>
    <w:tmpl w:val="EFAE7594"/>
    <w:name w:val="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0" w15:restartNumberingAfterBreak="0">
    <w:nsid w:val="1F442193"/>
    <w:multiLevelType w:val="multilevel"/>
    <w:tmpl w:val="DD2A2A16"/>
    <w:name w:val="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suff w:val="nothing"/>
      <w:lvlText w:val="Appendix: %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1" w15:restartNumberingAfterBreak="0">
    <w:nsid w:val="21823CF8"/>
    <w:multiLevelType w:val="hybridMultilevel"/>
    <w:tmpl w:val="611E53E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21E75138"/>
    <w:multiLevelType w:val="hybridMultilevel"/>
    <w:tmpl w:val="DA1875F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3B47A93"/>
    <w:multiLevelType w:val="multilevel"/>
    <w:tmpl w:val="B532C914"/>
    <w:name w:val="HeadingList"/>
    <w:lvl w:ilvl="0">
      <w:start w:val="1"/>
      <w:numFmt w:val="none"/>
      <w:pStyle w:val="Heading1"/>
      <w:suff w:val="nothing"/>
      <w:lvlText w:val=""/>
      <w:lvlJc w:val="left"/>
      <w:pPr>
        <w:tabs>
          <w:tab w:val="num" w:pos="0"/>
        </w:tabs>
        <w:ind w:left="0" w:firstLine="0"/>
      </w:pPr>
    </w:lvl>
    <w:lvl w:ilvl="1">
      <w:start w:val="1"/>
      <w:numFmt w:val="none"/>
      <w:pStyle w:val="AppendixHeading2"/>
      <w:suff w:val="nothing"/>
      <w:lvlText w:val=""/>
      <w:lvlJc w:val="left"/>
      <w:pPr>
        <w:tabs>
          <w:tab w:val="num" w:pos="0"/>
        </w:tabs>
        <w:ind w:left="0" w:firstLine="0"/>
      </w:pPr>
    </w:lvl>
    <w:lvl w:ilvl="2">
      <w:start w:val="1"/>
      <w:numFmt w:val="none"/>
      <w:pStyle w:val="Appendix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091320"/>
    <w:multiLevelType w:val="singleLevel"/>
    <w:tmpl w:val="6EAE7D90"/>
    <w:lvl w:ilvl="0">
      <w:start w:val="1"/>
      <w:numFmt w:val="decimal"/>
      <w:pStyle w:val="TOC1"/>
      <w:lvlText w:val="%1."/>
      <w:lvlJc w:val="left"/>
      <w:pPr>
        <w:tabs>
          <w:tab w:val="num" w:pos="360"/>
        </w:tabs>
        <w:ind w:left="360" w:hanging="360"/>
      </w:pPr>
      <w:rPr>
        <w:rFonts w:ascii="Arial" w:hAnsi="Arial" w:hint="default"/>
        <w:b w:val="0"/>
        <w:i w:val="0"/>
        <w:sz w:val="22"/>
        <w:szCs w:val="22"/>
      </w:rPr>
    </w:lvl>
  </w:abstractNum>
  <w:abstractNum w:abstractNumId="15" w15:restartNumberingAfterBreak="0">
    <w:nsid w:val="24C0087F"/>
    <w:multiLevelType w:val="singleLevel"/>
    <w:tmpl w:val="FF807914"/>
    <w:lvl w:ilvl="0">
      <w:start w:val="1"/>
      <w:numFmt w:val="bullet"/>
      <w:pStyle w:val="TOC2"/>
      <w:lvlText w:val="•"/>
      <w:lvlJc w:val="left"/>
      <w:pPr>
        <w:tabs>
          <w:tab w:val="num" w:pos="806"/>
        </w:tabs>
        <w:ind w:left="806" w:hanging="360"/>
      </w:pPr>
      <w:rPr>
        <w:rFonts w:ascii="Arial" w:hAnsi="Arial" w:hint="default"/>
      </w:rPr>
    </w:lvl>
  </w:abstractNum>
  <w:abstractNum w:abstractNumId="16" w15:restartNumberingAfterBreak="0">
    <w:nsid w:val="291369BF"/>
    <w:multiLevelType w:val="hybridMultilevel"/>
    <w:tmpl w:val="33C6B050"/>
    <w:name w:val="NumHeadingList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012D23"/>
    <w:multiLevelType w:val="hybridMultilevel"/>
    <w:tmpl w:val="C8A8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EC732C"/>
    <w:multiLevelType w:val="hybridMultilevel"/>
    <w:tmpl w:val="5664B8DA"/>
    <w:lvl w:ilvl="0" w:tplc="0C5EF64E">
      <w:start w:val="1"/>
      <w:numFmt w:val="bullet"/>
      <w:lvlText w:val="•"/>
      <w:lvlJc w:val="left"/>
      <w:pPr>
        <w:tabs>
          <w:tab w:val="num" w:pos="360"/>
        </w:tabs>
        <w:ind w:left="360" w:hanging="360"/>
      </w:pPr>
      <w:rPr>
        <w:rFonts w:ascii="Mute" w:hAnsi="Mute" w:hint="default"/>
      </w:rPr>
    </w:lvl>
    <w:lvl w:ilvl="1" w:tplc="A2506028">
      <w:start w:val="56"/>
      <w:numFmt w:val="bullet"/>
      <w:lvlText w:val="•"/>
      <w:lvlJc w:val="left"/>
      <w:pPr>
        <w:tabs>
          <w:tab w:val="num" w:pos="1080"/>
        </w:tabs>
        <w:ind w:left="1080" w:hanging="360"/>
      </w:pPr>
      <w:rPr>
        <w:rFonts w:ascii="Arial" w:hAnsi="Arial" w:hint="default"/>
      </w:rPr>
    </w:lvl>
    <w:lvl w:ilvl="2" w:tplc="52E8E7F4" w:tentative="1">
      <w:start w:val="1"/>
      <w:numFmt w:val="bullet"/>
      <w:lvlText w:val="•"/>
      <w:lvlJc w:val="left"/>
      <w:pPr>
        <w:tabs>
          <w:tab w:val="num" w:pos="1800"/>
        </w:tabs>
        <w:ind w:left="1800" w:hanging="360"/>
      </w:pPr>
      <w:rPr>
        <w:rFonts w:ascii="Mute" w:hAnsi="Mute" w:hint="default"/>
      </w:rPr>
    </w:lvl>
    <w:lvl w:ilvl="3" w:tplc="00AE79AC" w:tentative="1">
      <w:start w:val="1"/>
      <w:numFmt w:val="bullet"/>
      <w:lvlText w:val="•"/>
      <w:lvlJc w:val="left"/>
      <w:pPr>
        <w:tabs>
          <w:tab w:val="num" w:pos="2520"/>
        </w:tabs>
        <w:ind w:left="2520" w:hanging="360"/>
      </w:pPr>
      <w:rPr>
        <w:rFonts w:ascii="Mute" w:hAnsi="Mute" w:hint="default"/>
      </w:rPr>
    </w:lvl>
    <w:lvl w:ilvl="4" w:tplc="39F28168" w:tentative="1">
      <w:start w:val="1"/>
      <w:numFmt w:val="bullet"/>
      <w:lvlText w:val="•"/>
      <w:lvlJc w:val="left"/>
      <w:pPr>
        <w:tabs>
          <w:tab w:val="num" w:pos="3240"/>
        </w:tabs>
        <w:ind w:left="3240" w:hanging="360"/>
      </w:pPr>
      <w:rPr>
        <w:rFonts w:ascii="Mute" w:hAnsi="Mute" w:hint="default"/>
      </w:rPr>
    </w:lvl>
    <w:lvl w:ilvl="5" w:tplc="0A76C5F6" w:tentative="1">
      <w:start w:val="1"/>
      <w:numFmt w:val="bullet"/>
      <w:lvlText w:val="•"/>
      <w:lvlJc w:val="left"/>
      <w:pPr>
        <w:tabs>
          <w:tab w:val="num" w:pos="3960"/>
        </w:tabs>
        <w:ind w:left="3960" w:hanging="360"/>
      </w:pPr>
      <w:rPr>
        <w:rFonts w:ascii="Mute" w:hAnsi="Mute" w:hint="default"/>
      </w:rPr>
    </w:lvl>
    <w:lvl w:ilvl="6" w:tplc="E8AE2164" w:tentative="1">
      <w:start w:val="1"/>
      <w:numFmt w:val="bullet"/>
      <w:lvlText w:val="•"/>
      <w:lvlJc w:val="left"/>
      <w:pPr>
        <w:tabs>
          <w:tab w:val="num" w:pos="4680"/>
        </w:tabs>
        <w:ind w:left="4680" w:hanging="360"/>
      </w:pPr>
      <w:rPr>
        <w:rFonts w:ascii="Mute" w:hAnsi="Mute" w:hint="default"/>
      </w:rPr>
    </w:lvl>
    <w:lvl w:ilvl="7" w:tplc="6F3A69EA" w:tentative="1">
      <w:start w:val="1"/>
      <w:numFmt w:val="bullet"/>
      <w:lvlText w:val="•"/>
      <w:lvlJc w:val="left"/>
      <w:pPr>
        <w:tabs>
          <w:tab w:val="num" w:pos="5400"/>
        </w:tabs>
        <w:ind w:left="5400" w:hanging="360"/>
      </w:pPr>
      <w:rPr>
        <w:rFonts w:ascii="Mute" w:hAnsi="Mute" w:hint="default"/>
      </w:rPr>
    </w:lvl>
    <w:lvl w:ilvl="8" w:tplc="AA54DDB0" w:tentative="1">
      <w:start w:val="1"/>
      <w:numFmt w:val="bullet"/>
      <w:lvlText w:val="•"/>
      <w:lvlJc w:val="left"/>
      <w:pPr>
        <w:tabs>
          <w:tab w:val="num" w:pos="6120"/>
        </w:tabs>
        <w:ind w:left="6120" w:hanging="360"/>
      </w:pPr>
      <w:rPr>
        <w:rFonts w:ascii="Mute" w:hAnsi="Mute" w:hint="default"/>
      </w:rPr>
    </w:lvl>
  </w:abstractNum>
  <w:abstractNum w:abstractNumId="19" w15:restartNumberingAfterBreak="0">
    <w:nsid w:val="339A6497"/>
    <w:multiLevelType w:val="hybridMultilevel"/>
    <w:tmpl w:val="8C60D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7C36E02"/>
    <w:multiLevelType w:val="multilevel"/>
    <w:tmpl w:val="8DC42EE2"/>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21" w15:restartNumberingAfterBreak="0">
    <w:nsid w:val="390D5D84"/>
    <w:multiLevelType w:val="hybridMultilevel"/>
    <w:tmpl w:val="C1E62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E92A0A"/>
    <w:multiLevelType w:val="hybridMultilevel"/>
    <w:tmpl w:val="7CD67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0040C2">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7177AB"/>
    <w:multiLevelType w:val="hybridMultilevel"/>
    <w:tmpl w:val="537AC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657393"/>
    <w:multiLevelType w:val="multilevel"/>
    <w:tmpl w:val="7CDEBAE6"/>
    <w:lvl w:ilvl="0">
      <w:start w:val="1"/>
      <w:numFmt w:val="decimal"/>
      <w:pStyle w:val="OutlineNum"/>
      <w:lvlText w:val="%1."/>
      <w:lvlJc w:val="left"/>
      <w:pPr>
        <w:tabs>
          <w:tab w:val="num" w:pos="706"/>
        </w:tabs>
        <w:ind w:left="706" w:hanging="706"/>
      </w:pPr>
      <w:rPr>
        <w:rFonts w:ascii="Arial" w:hAnsi="Arial" w:hint="default"/>
        <w:b/>
        <w:i w:val="0"/>
        <w:sz w:val="22"/>
      </w:rPr>
    </w:lvl>
    <w:lvl w:ilvl="1">
      <w:start w:val="1"/>
      <w:numFmt w:val="decimal"/>
      <w:pStyle w:val="OutlineNum2"/>
      <w:lvlText w:val="%1.%2"/>
      <w:lvlJc w:val="left"/>
      <w:pPr>
        <w:tabs>
          <w:tab w:val="num" w:pos="706"/>
        </w:tabs>
        <w:ind w:left="706" w:hanging="706"/>
      </w:pPr>
    </w:lvl>
    <w:lvl w:ilvl="2">
      <w:start w:val="1"/>
      <w:numFmt w:val="decimal"/>
      <w:pStyle w:val="OutlineNum3"/>
      <w:lvlText w:val="%1.%2.%3"/>
      <w:lvlJc w:val="left"/>
      <w:pPr>
        <w:tabs>
          <w:tab w:val="num" w:pos="1080"/>
        </w:tabs>
        <w:ind w:left="706" w:hanging="706"/>
      </w:pPr>
    </w:lvl>
    <w:lvl w:ilvl="3">
      <w:start w:val="1"/>
      <w:numFmt w:val="none"/>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422A0216"/>
    <w:multiLevelType w:val="multilevel"/>
    <w:tmpl w:val="1BEC9DF0"/>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26" w15:restartNumberingAfterBreak="0">
    <w:nsid w:val="431D722B"/>
    <w:multiLevelType w:val="hybridMultilevel"/>
    <w:tmpl w:val="D5803968"/>
    <w:lvl w:ilvl="0" w:tplc="B030C902">
      <w:start w:val="1"/>
      <w:numFmt w:val="bullet"/>
      <w:pStyle w:val="TOC4"/>
      <w:lvlText w:val="−"/>
      <w:lvlJc w:val="left"/>
      <w:pPr>
        <w:tabs>
          <w:tab w:val="num" w:pos="1526"/>
        </w:tabs>
        <w:ind w:left="1526"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F12646"/>
    <w:multiLevelType w:val="hybridMultilevel"/>
    <w:tmpl w:val="FCCA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631BA5"/>
    <w:multiLevelType w:val="hybridMultilevel"/>
    <w:tmpl w:val="74F69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7371D4"/>
    <w:multiLevelType w:val="multilevel"/>
    <w:tmpl w:val="92BC9D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pStyle w:val="HeadingNumber1"/>
      <w:lvlText w:val="%5."/>
      <w:lvlJc w:val="left"/>
      <w:pPr>
        <w:tabs>
          <w:tab w:val="num" w:pos="720"/>
        </w:tabs>
        <w:ind w:left="720" w:hanging="720"/>
      </w:pPr>
      <w:rPr>
        <w:b w:val="0"/>
        <w:i w:val="0"/>
        <w:caps w:val="0"/>
        <w:smallCaps w:val="0"/>
        <w:vanish w:val="0"/>
        <w:sz w:val="28"/>
        <w:u w:val="none"/>
      </w:rPr>
    </w:lvl>
    <w:lvl w:ilvl="5">
      <w:start w:val="1"/>
      <w:numFmt w:val="decimal"/>
      <w:pStyle w:val="HeadingNumber2"/>
      <w:lvlText w:val="%5.%6."/>
      <w:lvlJc w:val="left"/>
      <w:pPr>
        <w:tabs>
          <w:tab w:val="num" w:pos="840"/>
        </w:tabs>
        <w:ind w:left="840" w:hanging="840"/>
      </w:pPr>
      <w:rPr>
        <w:b w:val="0"/>
        <w:i w:val="0"/>
        <w:caps w:val="0"/>
        <w:smallCaps w:val="0"/>
        <w:vanish w:val="0"/>
        <w:u w:val="none"/>
      </w:rPr>
    </w:lvl>
    <w:lvl w:ilvl="6">
      <w:start w:val="1"/>
      <w:numFmt w:val="decimal"/>
      <w:pStyle w:val="HeadingNumber3"/>
      <w:lvlText w:val="%5.%6.%7."/>
      <w:lvlJc w:val="left"/>
      <w:pPr>
        <w:tabs>
          <w:tab w:val="num" w:pos="1080"/>
        </w:tabs>
        <w:ind w:left="1080" w:hanging="1080"/>
      </w:pPr>
      <w:rPr>
        <w:b w:val="0"/>
        <w:i w:val="0"/>
        <w:caps w:val="0"/>
        <w:smallCaps w:val="0"/>
        <w:vanish w:val="0"/>
        <w:u w:val="none"/>
      </w:rPr>
    </w:lvl>
    <w:lvl w:ilvl="7">
      <w:start w:val="1"/>
      <w:numFmt w:val="decimal"/>
      <w:pStyle w:val="HeadingNumber4"/>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abstractNum w:abstractNumId="30" w15:restartNumberingAfterBreak="0">
    <w:nsid w:val="55C11AE9"/>
    <w:multiLevelType w:val="hybridMultilevel"/>
    <w:tmpl w:val="3D148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5576CE"/>
    <w:multiLevelType w:val="hybridMultilevel"/>
    <w:tmpl w:val="0F7A0C0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2" w15:restartNumberingAfterBreak="0">
    <w:nsid w:val="60D34070"/>
    <w:multiLevelType w:val="hybridMultilevel"/>
    <w:tmpl w:val="4CE678A2"/>
    <w:lvl w:ilvl="0" w:tplc="387E9A4E">
      <w:start w:val="1"/>
      <w:numFmt w:val="bullet"/>
      <w:pStyle w:val="TOC3"/>
      <w:lvlText w:val="─"/>
      <w:lvlJc w:val="left"/>
      <w:pPr>
        <w:tabs>
          <w:tab w:val="num" w:pos="1267"/>
        </w:tabs>
        <w:ind w:left="1267"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EF0B71"/>
    <w:multiLevelType w:val="hybridMultilevel"/>
    <w:tmpl w:val="54FCC2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186296"/>
    <w:multiLevelType w:val="singleLevel"/>
    <w:tmpl w:val="DA940A0A"/>
    <w:lvl w:ilvl="0">
      <w:start w:val="1"/>
      <w:numFmt w:val="decimal"/>
      <w:pStyle w:val="SectionStart"/>
      <w:lvlText w:val="%1"/>
      <w:lvlJc w:val="left"/>
      <w:pPr>
        <w:tabs>
          <w:tab w:val="num" w:pos="0"/>
        </w:tabs>
        <w:ind w:left="0" w:firstLine="0"/>
      </w:pPr>
      <w:rPr>
        <w:rFonts w:hint="default"/>
        <w:color w:val="4BACC6" w:themeColor="accent5"/>
      </w:rPr>
    </w:lvl>
  </w:abstractNum>
  <w:abstractNum w:abstractNumId="35" w15:restartNumberingAfterBreak="0">
    <w:nsid w:val="68F670C2"/>
    <w:multiLevelType w:val="multilevel"/>
    <w:tmpl w:val="62BE8E18"/>
    <w:lvl w:ilvl="0">
      <w:start w:val="1"/>
      <w:numFmt w:val="none"/>
      <w:pStyle w:val="NormalIndent"/>
      <w:suff w:val="nothing"/>
      <w:lvlText w:val=""/>
      <w:lvlJc w:val="left"/>
      <w:pPr>
        <w:ind w:left="709" w:hanging="3"/>
      </w:pPr>
      <w:rPr>
        <w:rFonts w:cs="Times New Roman"/>
        <w:spacing w:val="-10"/>
        <w:sz w:val="18"/>
      </w:rPr>
    </w:lvl>
    <w:lvl w:ilvl="1">
      <w:start w:val="1"/>
      <w:numFmt w:val="none"/>
      <w:lvlRestart w:val="0"/>
      <w:suff w:val="nothing"/>
      <w:lvlText w:val=""/>
      <w:lvlJc w:val="left"/>
      <w:pPr>
        <w:ind w:left="1134" w:firstLine="0"/>
      </w:pPr>
      <w:rPr>
        <w:rFonts w:cs="Times New Roman"/>
        <w:spacing w:val="-10"/>
        <w:sz w:val="18"/>
      </w:rPr>
    </w:lvl>
    <w:lvl w:ilvl="2">
      <w:start w:val="1"/>
      <w:numFmt w:val="none"/>
      <w:suff w:val="nothing"/>
      <w:lvlText w:val=""/>
      <w:lvlJc w:val="left"/>
      <w:pPr>
        <w:ind w:left="1559" w:firstLine="0"/>
      </w:pPr>
      <w:rPr>
        <w:rFonts w:cs="Times New Roman"/>
        <w:spacing w:val="-10"/>
        <w:sz w:val="18"/>
      </w:rPr>
    </w:lvl>
    <w:lvl w:ilvl="3">
      <w:start w:val="1"/>
      <w:numFmt w:val="none"/>
      <w:suff w:val="nothing"/>
      <w:lvlText w:val=""/>
      <w:lvlJc w:val="left"/>
      <w:pPr>
        <w:ind w:left="0" w:firstLine="0"/>
      </w:pPr>
      <w:rPr>
        <w:rFonts w:cs="Times New Roman"/>
        <w:spacing w:val="-10"/>
        <w:sz w:val="18"/>
      </w:rPr>
    </w:lvl>
    <w:lvl w:ilvl="4">
      <w:start w:val="1"/>
      <w:numFmt w:val="decimal"/>
      <w:lvlText w:val="%5."/>
      <w:lvlJc w:val="left"/>
      <w:pPr>
        <w:tabs>
          <w:tab w:val="num" w:pos="360"/>
        </w:tabs>
        <w:ind w:left="288" w:hanging="288"/>
      </w:pPr>
      <w:rPr>
        <w:rFonts w:ascii="Arial" w:hAnsi="Arial" w:cs="Times New Roman" w:hint="default"/>
        <w:b w:val="0"/>
        <w:i w:val="0"/>
        <w:spacing w:val="-10"/>
        <w:sz w:val="22"/>
      </w:rPr>
    </w:lvl>
    <w:lvl w:ilvl="5">
      <w:start w:val="1"/>
      <w:numFmt w:val="decimal"/>
      <w:lvlText w:val="%6"/>
      <w:lvlJc w:val="left"/>
      <w:pPr>
        <w:tabs>
          <w:tab w:val="num" w:pos="794"/>
        </w:tabs>
        <w:ind w:left="794" w:hanging="397"/>
      </w:pPr>
      <w:rPr>
        <w:rFonts w:cs="Times New Roman"/>
        <w:spacing w:val="-10"/>
        <w:sz w:val="18"/>
      </w:rPr>
    </w:lvl>
    <w:lvl w:ilvl="6">
      <w:start w:val="1"/>
      <w:numFmt w:val="decimal"/>
      <w:lvlText w:val="%7"/>
      <w:lvlJc w:val="left"/>
      <w:pPr>
        <w:tabs>
          <w:tab w:val="num" w:pos="1191"/>
        </w:tabs>
        <w:ind w:left="1191" w:hanging="397"/>
      </w:pPr>
      <w:rPr>
        <w:rFonts w:cs="Times New Roman"/>
        <w:spacing w:val="-10"/>
        <w:sz w:val="18"/>
      </w:rPr>
    </w:lvl>
    <w:lvl w:ilvl="7">
      <w:start w:val="1"/>
      <w:numFmt w:val="lowerLetter"/>
      <w:lvlText w:val="%8"/>
      <w:lvlJc w:val="left"/>
      <w:pPr>
        <w:tabs>
          <w:tab w:val="num" w:pos="397"/>
        </w:tabs>
        <w:ind w:left="397" w:hanging="397"/>
      </w:pPr>
      <w:rPr>
        <w:rFonts w:cs="Times New Roman"/>
      </w:rPr>
    </w:lvl>
    <w:lvl w:ilvl="8">
      <w:start w:val="1"/>
      <w:numFmt w:val="lowerLetter"/>
      <w:lvlText w:val="%9"/>
      <w:lvlJc w:val="left"/>
      <w:pPr>
        <w:tabs>
          <w:tab w:val="num" w:pos="794"/>
        </w:tabs>
        <w:ind w:left="794" w:hanging="397"/>
      </w:pPr>
      <w:rPr>
        <w:rFonts w:cs="Times New Roman"/>
      </w:rPr>
    </w:lvl>
  </w:abstractNum>
  <w:abstractNum w:abstractNumId="36" w15:restartNumberingAfterBreak="0">
    <w:nsid w:val="699E2EE1"/>
    <w:multiLevelType w:val="hybridMultilevel"/>
    <w:tmpl w:val="910A9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0809CC"/>
    <w:multiLevelType w:val="multilevel"/>
    <w:tmpl w:val="DEAC25B8"/>
    <w:name w:val="S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Appendix: %5."/>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38" w15:restartNumberingAfterBreak="0">
    <w:nsid w:val="6AF20A12"/>
    <w:multiLevelType w:val="hybridMultilevel"/>
    <w:tmpl w:val="B8004F0C"/>
    <w:lvl w:ilvl="0" w:tplc="05C82ABC">
      <w:numFmt w:val="bullet"/>
      <w:lvlText w:val="-"/>
      <w:lvlJc w:val="left"/>
      <w:pPr>
        <w:ind w:left="720" w:hanging="360"/>
      </w:pPr>
      <w:rPr>
        <w:rFonts w:ascii="Mute Light" w:eastAsia="Times New Roman" w:hAnsi="Mute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F932A6"/>
    <w:multiLevelType w:val="singleLevel"/>
    <w:tmpl w:val="BFAA8006"/>
    <w:lvl w:ilvl="0">
      <w:start w:val="1"/>
      <w:numFmt w:val="upperLetter"/>
      <w:pStyle w:val="AppendixStart"/>
      <w:lvlText w:val="Appendix %1"/>
      <w:lvlJc w:val="left"/>
      <w:pPr>
        <w:tabs>
          <w:tab w:val="num" w:pos="0"/>
        </w:tabs>
        <w:ind w:left="0" w:firstLine="0"/>
      </w:pPr>
      <w:rPr>
        <w:rFonts w:hint="default"/>
      </w:rPr>
    </w:lvl>
  </w:abstractNum>
  <w:abstractNum w:abstractNumId="40" w15:restartNumberingAfterBreak="0">
    <w:nsid w:val="6D0C248B"/>
    <w:multiLevelType w:val="multilevel"/>
    <w:tmpl w:val="31224370"/>
    <w:lvl w:ilvl="0">
      <w:start w:val="1"/>
      <w:numFmt w:val="upperLetter"/>
      <w:pStyle w:val="TOC9"/>
      <w:lvlText w:val="Appendix %1:"/>
      <w:lvlJc w:val="left"/>
      <w:pPr>
        <w:tabs>
          <w:tab w:val="num" w:pos="360"/>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2"/>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D867A9B"/>
    <w:multiLevelType w:val="multilevel"/>
    <w:tmpl w:val="745ED41C"/>
    <w:lvl w:ilvl="0">
      <w:start w:val="1"/>
      <w:numFmt w:val="none"/>
      <w:suff w:val="nothing"/>
      <w:lvlText w:val=""/>
      <w:lvlJc w:val="left"/>
      <w:pPr>
        <w:tabs>
          <w:tab w:val="num" w:pos="0"/>
        </w:tabs>
        <w:ind w:left="0" w:firstLine="0"/>
      </w:pPr>
      <w:rPr>
        <w:b w:val="0"/>
        <w:i w:val="0"/>
        <w:caps w:val="0"/>
        <w:smallCaps w:val="0"/>
        <w:vanish w:val="0"/>
        <w:u w:val="none"/>
      </w:rPr>
    </w:lvl>
    <w:lvl w:ilvl="1">
      <w:start w:val="1"/>
      <w:numFmt w:val="none"/>
      <w:suff w:val="nothing"/>
      <w:lvlText w:val=""/>
      <w:lvlJc w:val="left"/>
      <w:pPr>
        <w:tabs>
          <w:tab w:val="num" w:pos="0"/>
        </w:tabs>
        <w:ind w:left="0" w:firstLine="0"/>
      </w:pPr>
      <w:rPr>
        <w:b w:val="0"/>
        <w:i w:val="0"/>
        <w:caps w:val="0"/>
        <w:smallCaps w:val="0"/>
        <w:vanish w:val="0"/>
        <w:u w:val="none"/>
      </w:rPr>
    </w:lvl>
    <w:lvl w:ilvl="2">
      <w:start w:val="1"/>
      <w:numFmt w:val="none"/>
      <w:suff w:val="nothing"/>
      <w:lvlText w:val=""/>
      <w:lvlJc w:val="left"/>
      <w:pPr>
        <w:tabs>
          <w:tab w:val="num" w:pos="0"/>
        </w:tabs>
        <w:ind w:left="0" w:firstLine="0"/>
      </w:pPr>
      <w:rPr>
        <w:b w:val="0"/>
        <w:i w:val="0"/>
        <w:caps w:val="0"/>
        <w:smallCaps w:val="0"/>
        <w:vanish w:val="0"/>
        <w:u w:val="none"/>
      </w:rPr>
    </w:lvl>
    <w:lvl w:ilvl="3">
      <w:start w:val="1"/>
      <w:numFmt w:val="none"/>
      <w:suff w:val="nothing"/>
      <w:lvlText w:val=""/>
      <w:lvlJc w:val="left"/>
      <w:pPr>
        <w:tabs>
          <w:tab w:val="num" w:pos="0"/>
        </w:tabs>
        <w:ind w:left="0" w:firstLine="0"/>
      </w:pPr>
      <w:rPr>
        <w:b w:val="0"/>
        <w:i w:val="0"/>
        <w:caps w:val="0"/>
        <w:smallCaps w:val="0"/>
        <w:vanish w:val="0"/>
        <w:u w:val="none"/>
      </w:rPr>
    </w:lvl>
    <w:lvl w:ilvl="4">
      <w:start w:val="1"/>
      <w:numFmt w:val="none"/>
      <w:suff w:val="nothing"/>
      <w:lvlText w:val=""/>
      <w:lvlJc w:val="left"/>
      <w:pPr>
        <w:tabs>
          <w:tab w:val="num" w:pos="0"/>
        </w:tabs>
        <w:ind w:left="0" w:firstLine="0"/>
      </w:pPr>
      <w:rPr>
        <w:b w:val="0"/>
        <w:i w:val="0"/>
        <w:caps w:val="0"/>
        <w:smallCaps w:val="0"/>
        <w:vanish w:val="0"/>
        <w:u w:val="no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E8F215A"/>
    <w:multiLevelType w:val="multilevel"/>
    <w:tmpl w:val="19226E34"/>
    <w:name w:val="SREP_HEAD1"/>
    <w:lvl w:ilvl="0">
      <w:start w:val="1"/>
      <w:numFmt w:val="decimal"/>
      <w:lvlRestart w:val="0"/>
      <w:lvlText w:val="%1."/>
      <w:lvlJc w:val="left"/>
      <w:pPr>
        <w:tabs>
          <w:tab w:val="num" w:pos="0"/>
        </w:tabs>
        <w:ind w:left="0" w:hanging="60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1FA5B86"/>
    <w:multiLevelType w:val="multilevel"/>
    <w:tmpl w:val="0409001D"/>
    <w:name w:val="Heading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0632D1"/>
    <w:multiLevelType w:val="multilevel"/>
    <w:tmpl w:val="6F9E69CA"/>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45" w15:restartNumberingAfterBreak="0">
    <w:nsid w:val="7DDD5252"/>
    <w:multiLevelType w:val="hybridMultilevel"/>
    <w:tmpl w:val="672E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15"/>
  </w:num>
  <w:num w:numId="4">
    <w:abstractNumId w:val="39"/>
  </w:num>
  <w:num w:numId="5">
    <w:abstractNumId w:val="40"/>
  </w:num>
  <w:num w:numId="6">
    <w:abstractNumId w:val="32"/>
  </w:num>
  <w:num w:numId="7">
    <w:abstractNumId w:val="26"/>
  </w:num>
  <w:num w:numId="8">
    <w:abstractNumId w:val="25"/>
  </w:num>
  <w:num w:numId="9">
    <w:abstractNumId w:val="13"/>
  </w:num>
  <w:num w:numId="10">
    <w:abstractNumId w:val="20"/>
  </w:num>
  <w:num w:numId="11">
    <w:abstractNumId w:val="44"/>
  </w:num>
  <w:num w:numId="12">
    <w:abstractNumId w:val="4"/>
  </w:num>
  <w:num w:numId="13">
    <w:abstractNumId w:val="22"/>
  </w:num>
  <w:num w:numId="14">
    <w:abstractNumId w:val="12"/>
  </w:num>
  <w:num w:numId="15">
    <w:abstractNumId w:val="27"/>
  </w:num>
  <w:num w:numId="16">
    <w:abstractNumId w:val="23"/>
  </w:num>
  <w:num w:numId="17">
    <w:abstractNumId w:val="19"/>
  </w:num>
  <w:num w:numId="18">
    <w:abstractNumId w:val="33"/>
  </w:num>
  <w:num w:numId="19">
    <w:abstractNumId w:val="11"/>
  </w:num>
  <w:num w:numId="20">
    <w:abstractNumId w:val="41"/>
  </w:num>
  <w:num w:numId="21">
    <w:abstractNumId w:val="18"/>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6"/>
  </w:num>
  <w:num w:numId="25">
    <w:abstractNumId w:val="30"/>
  </w:num>
  <w:num w:numId="26">
    <w:abstractNumId w:val="21"/>
  </w:num>
  <w:num w:numId="27">
    <w:abstractNumId w:val="3"/>
  </w:num>
  <w:num w:numId="28">
    <w:abstractNumId w:val="45"/>
  </w:num>
  <w:num w:numId="29">
    <w:abstractNumId w:val="17"/>
  </w:num>
  <w:num w:numId="30">
    <w:abstractNumId w:val="28"/>
  </w:num>
  <w:num w:numId="31">
    <w:abstractNumId w:val="2"/>
  </w:num>
  <w:num w:numId="32">
    <w:abstractNumId w:val="6"/>
  </w:num>
  <w:num w:numId="33">
    <w:abstractNumId w:val="2"/>
  </w:num>
  <w:num w:numId="34">
    <w:abstractNumId w:val="6"/>
  </w:num>
  <w:num w:numId="35">
    <w:abstractNumId w:val="31"/>
  </w:num>
  <w:num w:numId="36">
    <w:abstractNumId w:val="38"/>
  </w:num>
  <w:num w:numId="37">
    <w:abstractNumId w:val="0"/>
  </w:num>
  <w:num w:numId="38">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LockTheme/>
  <w:styleLockQFSet/>
  <w:defaultTabStop w:val="360"/>
  <w:displayHorizontalDrawingGridEvery w:val="0"/>
  <w:displayVerticalDrawingGridEvery w:val="0"/>
  <w:doNotUseMarginsForDrawingGridOrigin/>
  <w:noPunctuationKerning/>
  <w:characterSpacingControl w:val="doNotCompress"/>
  <w:hdrShapeDefaults>
    <o:shapedefaults v:ext="edit" spidmax="32769">
      <o:colormru v:ext="edit" colors="#bcd8d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73"/>
    <w:rsid w:val="00001C47"/>
    <w:rsid w:val="0000226A"/>
    <w:rsid w:val="00002683"/>
    <w:rsid w:val="000039E4"/>
    <w:rsid w:val="00003AE0"/>
    <w:rsid w:val="000047BB"/>
    <w:rsid w:val="0000496F"/>
    <w:rsid w:val="000059DB"/>
    <w:rsid w:val="000060CB"/>
    <w:rsid w:val="0000620A"/>
    <w:rsid w:val="00006DB4"/>
    <w:rsid w:val="000075D8"/>
    <w:rsid w:val="000100A8"/>
    <w:rsid w:val="000117B4"/>
    <w:rsid w:val="000123B4"/>
    <w:rsid w:val="000129B8"/>
    <w:rsid w:val="00013057"/>
    <w:rsid w:val="00013085"/>
    <w:rsid w:val="00013BDA"/>
    <w:rsid w:val="00013EAE"/>
    <w:rsid w:val="0001487E"/>
    <w:rsid w:val="000158DB"/>
    <w:rsid w:val="00015AE4"/>
    <w:rsid w:val="00015EDE"/>
    <w:rsid w:val="000163A3"/>
    <w:rsid w:val="000177F6"/>
    <w:rsid w:val="00017FCB"/>
    <w:rsid w:val="000205E4"/>
    <w:rsid w:val="00020EA2"/>
    <w:rsid w:val="00021078"/>
    <w:rsid w:val="000234DD"/>
    <w:rsid w:val="00023E09"/>
    <w:rsid w:val="000246E2"/>
    <w:rsid w:val="00025172"/>
    <w:rsid w:val="00025259"/>
    <w:rsid w:val="00025A60"/>
    <w:rsid w:val="00026154"/>
    <w:rsid w:val="00026FCE"/>
    <w:rsid w:val="00027965"/>
    <w:rsid w:val="0003039D"/>
    <w:rsid w:val="00030831"/>
    <w:rsid w:val="000311E3"/>
    <w:rsid w:val="00031A8A"/>
    <w:rsid w:val="00032491"/>
    <w:rsid w:val="00032A51"/>
    <w:rsid w:val="0003355B"/>
    <w:rsid w:val="00033830"/>
    <w:rsid w:val="00034875"/>
    <w:rsid w:val="00034A1F"/>
    <w:rsid w:val="000359B7"/>
    <w:rsid w:val="00040475"/>
    <w:rsid w:val="00041ECA"/>
    <w:rsid w:val="0004374A"/>
    <w:rsid w:val="000437AE"/>
    <w:rsid w:val="000442CD"/>
    <w:rsid w:val="00044780"/>
    <w:rsid w:val="0004489B"/>
    <w:rsid w:val="00044B21"/>
    <w:rsid w:val="0004563F"/>
    <w:rsid w:val="00047457"/>
    <w:rsid w:val="00047E45"/>
    <w:rsid w:val="00047EAF"/>
    <w:rsid w:val="000500A5"/>
    <w:rsid w:val="0005029B"/>
    <w:rsid w:val="00050CF8"/>
    <w:rsid w:val="00052800"/>
    <w:rsid w:val="00053D8B"/>
    <w:rsid w:val="00053DB6"/>
    <w:rsid w:val="00055F51"/>
    <w:rsid w:val="000568C9"/>
    <w:rsid w:val="00056AA2"/>
    <w:rsid w:val="00056C3E"/>
    <w:rsid w:val="000572E2"/>
    <w:rsid w:val="00057CFE"/>
    <w:rsid w:val="000612B0"/>
    <w:rsid w:val="00061468"/>
    <w:rsid w:val="000616BB"/>
    <w:rsid w:val="00062408"/>
    <w:rsid w:val="0006264A"/>
    <w:rsid w:val="00065941"/>
    <w:rsid w:val="00065A26"/>
    <w:rsid w:val="00066F67"/>
    <w:rsid w:val="00067BD9"/>
    <w:rsid w:val="000717DD"/>
    <w:rsid w:val="00071B85"/>
    <w:rsid w:val="000722B1"/>
    <w:rsid w:val="00072A5A"/>
    <w:rsid w:val="00072B04"/>
    <w:rsid w:val="00072CC0"/>
    <w:rsid w:val="000743C7"/>
    <w:rsid w:val="000748F3"/>
    <w:rsid w:val="00076363"/>
    <w:rsid w:val="00076520"/>
    <w:rsid w:val="00077211"/>
    <w:rsid w:val="00077421"/>
    <w:rsid w:val="00077640"/>
    <w:rsid w:val="00077D6E"/>
    <w:rsid w:val="0008032D"/>
    <w:rsid w:val="00080BFF"/>
    <w:rsid w:val="000828AB"/>
    <w:rsid w:val="000838BE"/>
    <w:rsid w:val="000850ED"/>
    <w:rsid w:val="00085CE4"/>
    <w:rsid w:val="000865C9"/>
    <w:rsid w:val="00090AE7"/>
    <w:rsid w:val="00091651"/>
    <w:rsid w:val="00093AA6"/>
    <w:rsid w:val="00093C2D"/>
    <w:rsid w:val="000953A2"/>
    <w:rsid w:val="00095E1C"/>
    <w:rsid w:val="0009706D"/>
    <w:rsid w:val="0009734B"/>
    <w:rsid w:val="00097BF4"/>
    <w:rsid w:val="000A1045"/>
    <w:rsid w:val="000A144F"/>
    <w:rsid w:val="000A1E30"/>
    <w:rsid w:val="000A2BD1"/>
    <w:rsid w:val="000A2C34"/>
    <w:rsid w:val="000A35C4"/>
    <w:rsid w:val="000A37E8"/>
    <w:rsid w:val="000A4007"/>
    <w:rsid w:val="000A4577"/>
    <w:rsid w:val="000A46CE"/>
    <w:rsid w:val="000A4719"/>
    <w:rsid w:val="000A57E4"/>
    <w:rsid w:val="000A5839"/>
    <w:rsid w:val="000A63AA"/>
    <w:rsid w:val="000A7184"/>
    <w:rsid w:val="000A7A28"/>
    <w:rsid w:val="000B23F2"/>
    <w:rsid w:val="000B4DDF"/>
    <w:rsid w:val="000B5DAD"/>
    <w:rsid w:val="000B604E"/>
    <w:rsid w:val="000B6C9A"/>
    <w:rsid w:val="000C04B5"/>
    <w:rsid w:val="000C09E8"/>
    <w:rsid w:val="000C2931"/>
    <w:rsid w:val="000C3BD6"/>
    <w:rsid w:val="000C4D48"/>
    <w:rsid w:val="000C4E82"/>
    <w:rsid w:val="000C5192"/>
    <w:rsid w:val="000C5688"/>
    <w:rsid w:val="000C5BCB"/>
    <w:rsid w:val="000C6361"/>
    <w:rsid w:val="000C6910"/>
    <w:rsid w:val="000D04F2"/>
    <w:rsid w:val="000D0CA4"/>
    <w:rsid w:val="000D1BA8"/>
    <w:rsid w:val="000D23BC"/>
    <w:rsid w:val="000D28FE"/>
    <w:rsid w:val="000D33B6"/>
    <w:rsid w:val="000D3673"/>
    <w:rsid w:val="000D3923"/>
    <w:rsid w:val="000D4007"/>
    <w:rsid w:val="000D491B"/>
    <w:rsid w:val="000D4AF6"/>
    <w:rsid w:val="000D55F0"/>
    <w:rsid w:val="000D6892"/>
    <w:rsid w:val="000D6EAB"/>
    <w:rsid w:val="000E004A"/>
    <w:rsid w:val="000E0615"/>
    <w:rsid w:val="000E2219"/>
    <w:rsid w:val="000E26C3"/>
    <w:rsid w:val="000E48A9"/>
    <w:rsid w:val="000E6E62"/>
    <w:rsid w:val="000E705F"/>
    <w:rsid w:val="000E742B"/>
    <w:rsid w:val="000E7B41"/>
    <w:rsid w:val="000F03B7"/>
    <w:rsid w:val="000F08B5"/>
    <w:rsid w:val="000F1C20"/>
    <w:rsid w:val="000F26DA"/>
    <w:rsid w:val="000F3CE4"/>
    <w:rsid w:val="000F424B"/>
    <w:rsid w:val="000F50D9"/>
    <w:rsid w:val="000F53CA"/>
    <w:rsid w:val="000F58ED"/>
    <w:rsid w:val="000F5DB5"/>
    <w:rsid w:val="000F5F9D"/>
    <w:rsid w:val="000F7922"/>
    <w:rsid w:val="000F79CC"/>
    <w:rsid w:val="000F7DA0"/>
    <w:rsid w:val="00100EB1"/>
    <w:rsid w:val="00101D24"/>
    <w:rsid w:val="001032B5"/>
    <w:rsid w:val="00103DBB"/>
    <w:rsid w:val="00104A69"/>
    <w:rsid w:val="00105020"/>
    <w:rsid w:val="00106060"/>
    <w:rsid w:val="00106434"/>
    <w:rsid w:val="00110367"/>
    <w:rsid w:val="00111555"/>
    <w:rsid w:val="001115A6"/>
    <w:rsid w:val="001118C2"/>
    <w:rsid w:val="00112088"/>
    <w:rsid w:val="00112354"/>
    <w:rsid w:val="00112B5D"/>
    <w:rsid w:val="00113FFE"/>
    <w:rsid w:val="001142CD"/>
    <w:rsid w:val="00114BC9"/>
    <w:rsid w:val="00115050"/>
    <w:rsid w:val="001150E8"/>
    <w:rsid w:val="00115B8D"/>
    <w:rsid w:val="001179E5"/>
    <w:rsid w:val="00121B06"/>
    <w:rsid w:val="00121C06"/>
    <w:rsid w:val="001222B5"/>
    <w:rsid w:val="00122F16"/>
    <w:rsid w:val="0012396F"/>
    <w:rsid w:val="00124E3C"/>
    <w:rsid w:val="00126B87"/>
    <w:rsid w:val="00126B8F"/>
    <w:rsid w:val="001271F6"/>
    <w:rsid w:val="001275B2"/>
    <w:rsid w:val="00130284"/>
    <w:rsid w:val="0013090E"/>
    <w:rsid w:val="001310C9"/>
    <w:rsid w:val="00131DA1"/>
    <w:rsid w:val="0013237C"/>
    <w:rsid w:val="00132698"/>
    <w:rsid w:val="00132A0B"/>
    <w:rsid w:val="00133604"/>
    <w:rsid w:val="001336F6"/>
    <w:rsid w:val="0013490C"/>
    <w:rsid w:val="001366DC"/>
    <w:rsid w:val="00137706"/>
    <w:rsid w:val="00137E19"/>
    <w:rsid w:val="00137EC3"/>
    <w:rsid w:val="00140043"/>
    <w:rsid w:val="0014018D"/>
    <w:rsid w:val="00140217"/>
    <w:rsid w:val="00140340"/>
    <w:rsid w:val="00140F25"/>
    <w:rsid w:val="0014191D"/>
    <w:rsid w:val="001419C2"/>
    <w:rsid w:val="0014302E"/>
    <w:rsid w:val="001431A0"/>
    <w:rsid w:val="001446A2"/>
    <w:rsid w:val="001449E8"/>
    <w:rsid w:val="00144A57"/>
    <w:rsid w:val="00144C08"/>
    <w:rsid w:val="00145B7C"/>
    <w:rsid w:val="00145D2C"/>
    <w:rsid w:val="00145D90"/>
    <w:rsid w:val="00147328"/>
    <w:rsid w:val="00150381"/>
    <w:rsid w:val="00150ABD"/>
    <w:rsid w:val="00150BF9"/>
    <w:rsid w:val="001524BB"/>
    <w:rsid w:val="001524BC"/>
    <w:rsid w:val="00152602"/>
    <w:rsid w:val="001528C9"/>
    <w:rsid w:val="001533A1"/>
    <w:rsid w:val="001550AA"/>
    <w:rsid w:val="001570A2"/>
    <w:rsid w:val="00157E2C"/>
    <w:rsid w:val="00160897"/>
    <w:rsid w:val="001629ED"/>
    <w:rsid w:val="001643FF"/>
    <w:rsid w:val="001644E5"/>
    <w:rsid w:val="001646CD"/>
    <w:rsid w:val="00166D45"/>
    <w:rsid w:val="00170122"/>
    <w:rsid w:val="00170B1E"/>
    <w:rsid w:val="00170D53"/>
    <w:rsid w:val="00171E5B"/>
    <w:rsid w:val="00174050"/>
    <w:rsid w:val="00174B20"/>
    <w:rsid w:val="00174C17"/>
    <w:rsid w:val="00174E0F"/>
    <w:rsid w:val="00174F3D"/>
    <w:rsid w:val="00175256"/>
    <w:rsid w:val="00175B8A"/>
    <w:rsid w:val="00176E2A"/>
    <w:rsid w:val="00177312"/>
    <w:rsid w:val="00180CD5"/>
    <w:rsid w:val="00182E11"/>
    <w:rsid w:val="00183A91"/>
    <w:rsid w:val="00184C86"/>
    <w:rsid w:val="00185436"/>
    <w:rsid w:val="00185763"/>
    <w:rsid w:val="00185CFF"/>
    <w:rsid w:val="00186186"/>
    <w:rsid w:val="001862EF"/>
    <w:rsid w:val="00187380"/>
    <w:rsid w:val="00187D4A"/>
    <w:rsid w:val="00190726"/>
    <w:rsid w:val="001916DF"/>
    <w:rsid w:val="00191B09"/>
    <w:rsid w:val="001925C3"/>
    <w:rsid w:val="00195495"/>
    <w:rsid w:val="00195569"/>
    <w:rsid w:val="0019649C"/>
    <w:rsid w:val="0019662D"/>
    <w:rsid w:val="00197896"/>
    <w:rsid w:val="001A034F"/>
    <w:rsid w:val="001A0390"/>
    <w:rsid w:val="001A1A11"/>
    <w:rsid w:val="001A1DF2"/>
    <w:rsid w:val="001A2257"/>
    <w:rsid w:val="001A2C16"/>
    <w:rsid w:val="001A3334"/>
    <w:rsid w:val="001A3B99"/>
    <w:rsid w:val="001A42EC"/>
    <w:rsid w:val="001A44EB"/>
    <w:rsid w:val="001A464D"/>
    <w:rsid w:val="001A59CF"/>
    <w:rsid w:val="001A5BE5"/>
    <w:rsid w:val="001A6CC5"/>
    <w:rsid w:val="001A7204"/>
    <w:rsid w:val="001A73D9"/>
    <w:rsid w:val="001A7900"/>
    <w:rsid w:val="001B07FD"/>
    <w:rsid w:val="001B0A2E"/>
    <w:rsid w:val="001B10C1"/>
    <w:rsid w:val="001B24F4"/>
    <w:rsid w:val="001B34F5"/>
    <w:rsid w:val="001B35FB"/>
    <w:rsid w:val="001B4282"/>
    <w:rsid w:val="001B4CB5"/>
    <w:rsid w:val="001B5329"/>
    <w:rsid w:val="001B5D9E"/>
    <w:rsid w:val="001B652E"/>
    <w:rsid w:val="001B6762"/>
    <w:rsid w:val="001B6DC3"/>
    <w:rsid w:val="001B714F"/>
    <w:rsid w:val="001B77BF"/>
    <w:rsid w:val="001B7F35"/>
    <w:rsid w:val="001C02F6"/>
    <w:rsid w:val="001C0974"/>
    <w:rsid w:val="001C1330"/>
    <w:rsid w:val="001C1D07"/>
    <w:rsid w:val="001C2625"/>
    <w:rsid w:val="001C3177"/>
    <w:rsid w:val="001C42AC"/>
    <w:rsid w:val="001C5299"/>
    <w:rsid w:val="001C6D32"/>
    <w:rsid w:val="001D24B6"/>
    <w:rsid w:val="001D2CCF"/>
    <w:rsid w:val="001D2F05"/>
    <w:rsid w:val="001D2F2B"/>
    <w:rsid w:val="001D50EF"/>
    <w:rsid w:val="001D51E3"/>
    <w:rsid w:val="001D66F7"/>
    <w:rsid w:val="001D68C2"/>
    <w:rsid w:val="001E0768"/>
    <w:rsid w:val="001E08FA"/>
    <w:rsid w:val="001E2551"/>
    <w:rsid w:val="001E2BE8"/>
    <w:rsid w:val="001E33F4"/>
    <w:rsid w:val="001E3764"/>
    <w:rsid w:val="001E46E0"/>
    <w:rsid w:val="001E4F50"/>
    <w:rsid w:val="001E6FCE"/>
    <w:rsid w:val="001E7017"/>
    <w:rsid w:val="001E7FF7"/>
    <w:rsid w:val="001F01D5"/>
    <w:rsid w:val="001F0644"/>
    <w:rsid w:val="001F094D"/>
    <w:rsid w:val="001F202E"/>
    <w:rsid w:val="001F3B9E"/>
    <w:rsid w:val="001F3F79"/>
    <w:rsid w:val="001F476E"/>
    <w:rsid w:val="001F4A89"/>
    <w:rsid w:val="001F7D0B"/>
    <w:rsid w:val="002032E1"/>
    <w:rsid w:val="0020342D"/>
    <w:rsid w:val="0020369F"/>
    <w:rsid w:val="00203DF3"/>
    <w:rsid w:val="00206DA5"/>
    <w:rsid w:val="00207768"/>
    <w:rsid w:val="00207A8E"/>
    <w:rsid w:val="00212AEF"/>
    <w:rsid w:val="00212C49"/>
    <w:rsid w:val="00213CFB"/>
    <w:rsid w:val="00213E22"/>
    <w:rsid w:val="00214054"/>
    <w:rsid w:val="0021479C"/>
    <w:rsid w:val="002165E2"/>
    <w:rsid w:val="002170A9"/>
    <w:rsid w:val="00220003"/>
    <w:rsid w:val="00220532"/>
    <w:rsid w:val="002217F1"/>
    <w:rsid w:val="002239CC"/>
    <w:rsid w:val="00224449"/>
    <w:rsid w:val="0022455A"/>
    <w:rsid w:val="00224570"/>
    <w:rsid w:val="0022564E"/>
    <w:rsid w:val="002257DB"/>
    <w:rsid w:val="00227B07"/>
    <w:rsid w:val="002302FD"/>
    <w:rsid w:val="00230775"/>
    <w:rsid w:val="00232E4A"/>
    <w:rsid w:val="00233DD8"/>
    <w:rsid w:val="002341F8"/>
    <w:rsid w:val="00235072"/>
    <w:rsid w:val="00235E12"/>
    <w:rsid w:val="00236955"/>
    <w:rsid w:val="00237499"/>
    <w:rsid w:val="002378A6"/>
    <w:rsid w:val="00240A55"/>
    <w:rsid w:val="0024119F"/>
    <w:rsid w:val="002430C3"/>
    <w:rsid w:val="0024333E"/>
    <w:rsid w:val="00245910"/>
    <w:rsid w:val="0024693D"/>
    <w:rsid w:val="002470B3"/>
    <w:rsid w:val="00247399"/>
    <w:rsid w:val="002512DD"/>
    <w:rsid w:val="002518E4"/>
    <w:rsid w:val="00252ECD"/>
    <w:rsid w:val="00253C2A"/>
    <w:rsid w:val="0025496C"/>
    <w:rsid w:val="00254A74"/>
    <w:rsid w:val="00256186"/>
    <w:rsid w:val="00256DFB"/>
    <w:rsid w:val="00256FE1"/>
    <w:rsid w:val="002577C4"/>
    <w:rsid w:val="00257A41"/>
    <w:rsid w:val="00260C31"/>
    <w:rsid w:val="002620BF"/>
    <w:rsid w:val="00262C5E"/>
    <w:rsid w:val="00262D3B"/>
    <w:rsid w:val="00263299"/>
    <w:rsid w:val="00263BEC"/>
    <w:rsid w:val="00265289"/>
    <w:rsid w:val="0026587C"/>
    <w:rsid w:val="002676C0"/>
    <w:rsid w:val="00267DFF"/>
    <w:rsid w:val="0027065C"/>
    <w:rsid w:val="002740F6"/>
    <w:rsid w:val="00274DD9"/>
    <w:rsid w:val="0027525A"/>
    <w:rsid w:val="002752FA"/>
    <w:rsid w:val="00275601"/>
    <w:rsid w:val="0027616A"/>
    <w:rsid w:val="002764E7"/>
    <w:rsid w:val="00277433"/>
    <w:rsid w:val="00277FC9"/>
    <w:rsid w:val="0028002D"/>
    <w:rsid w:val="0028043A"/>
    <w:rsid w:val="002804EA"/>
    <w:rsid w:val="00280D7E"/>
    <w:rsid w:val="002825E3"/>
    <w:rsid w:val="00283000"/>
    <w:rsid w:val="00284535"/>
    <w:rsid w:val="00284ACE"/>
    <w:rsid w:val="00285B2E"/>
    <w:rsid w:val="002860AB"/>
    <w:rsid w:val="00286CBB"/>
    <w:rsid w:val="00287F5F"/>
    <w:rsid w:val="00290A86"/>
    <w:rsid w:val="00290B3D"/>
    <w:rsid w:val="00291A21"/>
    <w:rsid w:val="002921C7"/>
    <w:rsid w:val="0029220C"/>
    <w:rsid w:val="00292714"/>
    <w:rsid w:val="00292CD4"/>
    <w:rsid w:val="00293899"/>
    <w:rsid w:val="00295769"/>
    <w:rsid w:val="00295B54"/>
    <w:rsid w:val="0029777C"/>
    <w:rsid w:val="00297DAC"/>
    <w:rsid w:val="002A0929"/>
    <w:rsid w:val="002A1217"/>
    <w:rsid w:val="002A24A5"/>
    <w:rsid w:val="002A2BF7"/>
    <w:rsid w:val="002A30C9"/>
    <w:rsid w:val="002A40DE"/>
    <w:rsid w:val="002A4E34"/>
    <w:rsid w:val="002A5B23"/>
    <w:rsid w:val="002A6713"/>
    <w:rsid w:val="002A75C0"/>
    <w:rsid w:val="002A7C01"/>
    <w:rsid w:val="002B0489"/>
    <w:rsid w:val="002B0904"/>
    <w:rsid w:val="002B167B"/>
    <w:rsid w:val="002B1789"/>
    <w:rsid w:val="002B4BEA"/>
    <w:rsid w:val="002B523F"/>
    <w:rsid w:val="002B650A"/>
    <w:rsid w:val="002B6AF7"/>
    <w:rsid w:val="002B6B25"/>
    <w:rsid w:val="002B771A"/>
    <w:rsid w:val="002C02E5"/>
    <w:rsid w:val="002C0B59"/>
    <w:rsid w:val="002C153E"/>
    <w:rsid w:val="002C1543"/>
    <w:rsid w:val="002C1577"/>
    <w:rsid w:val="002C29D1"/>
    <w:rsid w:val="002C4611"/>
    <w:rsid w:val="002C4805"/>
    <w:rsid w:val="002C51D1"/>
    <w:rsid w:val="002C5328"/>
    <w:rsid w:val="002C63F0"/>
    <w:rsid w:val="002C6746"/>
    <w:rsid w:val="002C7DA1"/>
    <w:rsid w:val="002D007F"/>
    <w:rsid w:val="002D15C5"/>
    <w:rsid w:val="002D1AFC"/>
    <w:rsid w:val="002D2B61"/>
    <w:rsid w:val="002D36C6"/>
    <w:rsid w:val="002D37A4"/>
    <w:rsid w:val="002D439A"/>
    <w:rsid w:val="002D478E"/>
    <w:rsid w:val="002D4C8C"/>
    <w:rsid w:val="002D51FF"/>
    <w:rsid w:val="002D5680"/>
    <w:rsid w:val="002D6387"/>
    <w:rsid w:val="002D6956"/>
    <w:rsid w:val="002D7807"/>
    <w:rsid w:val="002E0419"/>
    <w:rsid w:val="002E0F0E"/>
    <w:rsid w:val="002E1025"/>
    <w:rsid w:val="002E13BE"/>
    <w:rsid w:val="002E21E4"/>
    <w:rsid w:val="002E26A6"/>
    <w:rsid w:val="002E2B48"/>
    <w:rsid w:val="002E3241"/>
    <w:rsid w:val="002E3DF3"/>
    <w:rsid w:val="002E463D"/>
    <w:rsid w:val="002E5E83"/>
    <w:rsid w:val="002E63F9"/>
    <w:rsid w:val="002E6B9A"/>
    <w:rsid w:val="002E709D"/>
    <w:rsid w:val="002E7F20"/>
    <w:rsid w:val="002F072B"/>
    <w:rsid w:val="002F0E5A"/>
    <w:rsid w:val="002F0E7E"/>
    <w:rsid w:val="002F1AE6"/>
    <w:rsid w:val="002F3C85"/>
    <w:rsid w:val="002F3D27"/>
    <w:rsid w:val="002F4AD9"/>
    <w:rsid w:val="002F4EA5"/>
    <w:rsid w:val="002F55BA"/>
    <w:rsid w:val="002F5E43"/>
    <w:rsid w:val="00300607"/>
    <w:rsid w:val="003016DC"/>
    <w:rsid w:val="00301D91"/>
    <w:rsid w:val="00302765"/>
    <w:rsid w:val="00302AB0"/>
    <w:rsid w:val="00302B8D"/>
    <w:rsid w:val="00304C06"/>
    <w:rsid w:val="0030531E"/>
    <w:rsid w:val="00305D06"/>
    <w:rsid w:val="003068DD"/>
    <w:rsid w:val="0030704D"/>
    <w:rsid w:val="0030745A"/>
    <w:rsid w:val="00310174"/>
    <w:rsid w:val="003101D6"/>
    <w:rsid w:val="00310A88"/>
    <w:rsid w:val="0031112C"/>
    <w:rsid w:val="00311A2F"/>
    <w:rsid w:val="00313B07"/>
    <w:rsid w:val="00313F07"/>
    <w:rsid w:val="00315847"/>
    <w:rsid w:val="00315B96"/>
    <w:rsid w:val="003164DE"/>
    <w:rsid w:val="0031652C"/>
    <w:rsid w:val="003165B4"/>
    <w:rsid w:val="00317601"/>
    <w:rsid w:val="00317E14"/>
    <w:rsid w:val="003221CB"/>
    <w:rsid w:val="00322F22"/>
    <w:rsid w:val="003233D1"/>
    <w:rsid w:val="0032346F"/>
    <w:rsid w:val="00323484"/>
    <w:rsid w:val="00323A79"/>
    <w:rsid w:val="00325A37"/>
    <w:rsid w:val="00325AC8"/>
    <w:rsid w:val="00325C08"/>
    <w:rsid w:val="00326788"/>
    <w:rsid w:val="00326A75"/>
    <w:rsid w:val="00326DC7"/>
    <w:rsid w:val="003302CD"/>
    <w:rsid w:val="00332EFF"/>
    <w:rsid w:val="00335C6B"/>
    <w:rsid w:val="00335DEB"/>
    <w:rsid w:val="00337AEE"/>
    <w:rsid w:val="00337CFC"/>
    <w:rsid w:val="003406DE"/>
    <w:rsid w:val="00340FB1"/>
    <w:rsid w:val="0034436F"/>
    <w:rsid w:val="0034554E"/>
    <w:rsid w:val="00345600"/>
    <w:rsid w:val="00345718"/>
    <w:rsid w:val="00345DA5"/>
    <w:rsid w:val="003467E1"/>
    <w:rsid w:val="0034681C"/>
    <w:rsid w:val="00346F05"/>
    <w:rsid w:val="00347F86"/>
    <w:rsid w:val="0035079E"/>
    <w:rsid w:val="00350CFC"/>
    <w:rsid w:val="00351183"/>
    <w:rsid w:val="00351226"/>
    <w:rsid w:val="0035273D"/>
    <w:rsid w:val="003527BD"/>
    <w:rsid w:val="0035493D"/>
    <w:rsid w:val="00354B41"/>
    <w:rsid w:val="00355374"/>
    <w:rsid w:val="003571D7"/>
    <w:rsid w:val="0035736D"/>
    <w:rsid w:val="003579BD"/>
    <w:rsid w:val="00360814"/>
    <w:rsid w:val="0036357E"/>
    <w:rsid w:val="00363C92"/>
    <w:rsid w:val="00364086"/>
    <w:rsid w:val="003649B7"/>
    <w:rsid w:val="00366370"/>
    <w:rsid w:val="00366550"/>
    <w:rsid w:val="00366FE8"/>
    <w:rsid w:val="003703CF"/>
    <w:rsid w:val="003705B1"/>
    <w:rsid w:val="003712AB"/>
    <w:rsid w:val="00372153"/>
    <w:rsid w:val="003734BA"/>
    <w:rsid w:val="003738DF"/>
    <w:rsid w:val="00374525"/>
    <w:rsid w:val="00374F7D"/>
    <w:rsid w:val="00375C43"/>
    <w:rsid w:val="00375D9F"/>
    <w:rsid w:val="00375E84"/>
    <w:rsid w:val="003761A4"/>
    <w:rsid w:val="00376526"/>
    <w:rsid w:val="003809F8"/>
    <w:rsid w:val="00381971"/>
    <w:rsid w:val="00381A61"/>
    <w:rsid w:val="003825D7"/>
    <w:rsid w:val="0038285D"/>
    <w:rsid w:val="00382AEE"/>
    <w:rsid w:val="00383CC9"/>
    <w:rsid w:val="00383D1D"/>
    <w:rsid w:val="00384F66"/>
    <w:rsid w:val="00385CB5"/>
    <w:rsid w:val="003875B9"/>
    <w:rsid w:val="003925C9"/>
    <w:rsid w:val="00393A13"/>
    <w:rsid w:val="003950E6"/>
    <w:rsid w:val="00396A1C"/>
    <w:rsid w:val="003974EF"/>
    <w:rsid w:val="00397E17"/>
    <w:rsid w:val="003A17C6"/>
    <w:rsid w:val="003A23E4"/>
    <w:rsid w:val="003A2811"/>
    <w:rsid w:val="003A2ABA"/>
    <w:rsid w:val="003A3DEC"/>
    <w:rsid w:val="003A4027"/>
    <w:rsid w:val="003A46B0"/>
    <w:rsid w:val="003A60DE"/>
    <w:rsid w:val="003A6939"/>
    <w:rsid w:val="003A744E"/>
    <w:rsid w:val="003B0CD1"/>
    <w:rsid w:val="003B2134"/>
    <w:rsid w:val="003B334A"/>
    <w:rsid w:val="003B4461"/>
    <w:rsid w:val="003B4FB7"/>
    <w:rsid w:val="003B5AA6"/>
    <w:rsid w:val="003B6B6A"/>
    <w:rsid w:val="003B70FE"/>
    <w:rsid w:val="003B759A"/>
    <w:rsid w:val="003B77F5"/>
    <w:rsid w:val="003C022F"/>
    <w:rsid w:val="003C03EA"/>
    <w:rsid w:val="003C112B"/>
    <w:rsid w:val="003C150E"/>
    <w:rsid w:val="003C1CEF"/>
    <w:rsid w:val="003C1D5E"/>
    <w:rsid w:val="003C2969"/>
    <w:rsid w:val="003C2A93"/>
    <w:rsid w:val="003C37D3"/>
    <w:rsid w:val="003C3E18"/>
    <w:rsid w:val="003C4D32"/>
    <w:rsid w:val="003C528D"/>
    <w:rsid w:val="003C57DC"/>
    <w:rsid w:val="003C609B"/>
    <w:rsid w:val="003C71A4"/>
    <w:rsid w:val="003C73FB"/>
    <w:rsid w:val="003D16E6"/>
    <w:rsid w:val="003D1B0B"/>
    <w:rsid w:val="003D1F2E"/>
    <w:rsid w:val="003D270D"/>
    <w:rsid w:val="003D2E20"/>
    <w:rsid w:val="003D3121"/>
    <w:rsid w:val="003D3A52"/>
    <w:rsid w:val="003D3D49"/>
    <w:rsid w:val="003D5146"/>
    <w:rsid w:val="003D527E"/>
    <w:rsid w:val="003D587E"/>
    <w:rsid w:val="003D62F5"/>
    <w:rsid w:val="003D661E"/>
    <w:rsid w:val="003D6676"/>
    <w:rsid w:val="003D6809"/>
    <w:rsid w:val="003D6DA4"/>
    <w:rsid w:val="003D7189"/>
    <w:rsid w:val="003E0B59"/>
    <w:rsid w:val="003E183B"/>
    <w:rsid w:val="003E280D"/>
    <w:rsid w:val="003E4346"/>
    <w:rsid w:val="003E568C"/>
    <w:rsid w:val="003E6012"/>
    <w:rsid w:val="003E64A8"/>
    <w:rsid w:val="003E724A"/>
    <w:rsid w:val="003E7B9A"/>
    <w:rsid w:val="003E7E33"/>
    <w:rsid w:val="003F0024"/>
    <w:rsid w:val="003F03F9"/>
    <w:rsid w:val="003F15EB"/>
    <w:rsid w:val="003F29F8"/>
    <w:rsid w:val="003F3393"/>
    <w:rsid w:val="003F39E7"/>
    <w:rsid w:val="003F3C8A"/>
    <w:rsid w:val="003F57C5"/>
    <w:rsid w:val="003F5DF4"/>
    <w:rsid w:val="003F6501"/>
    <w:rsid w:val="003F6F7F"/>
    <w:rsid w:val="003F761E"/>
    <w:rsid w:val="00400492"/>
    <w:rsid w:val="00400F74"/>
    <w:rsid w:val="00400F99"/>
    <w:rsid w:val="0040267F"/>
    <w:rsid w:val="00402BC7"/>
    <w:rsid w:val="00403510"/>
    <w:rsid w:val="00403A8C"/>
    <w:rsid w:val="00404BD4"/>
    <w:rsid w:val="004051CC"/>
    <w:rsid w:val="00405E7A"/>
    <w:rsid w:val="004078B8"/>
    <w:rsid w:val="004100C0"/>
    <w:rsid w:val="004101E2"/>
    <w:rsid w:val="004105EF"/>
    <w:rsid w:val="00410C20"/>
    <w:rsid w:val="004138D6"/>
    <w:rsid w:val="00414549"/>
    <w:rsid w:val="00414E1E"/>
    <w:rsid w:val="00415903"/>
    <w:rsid w:val="004160D8"/>
    <w:rsid w:val="00416A7E"/>
    <w:rsid w:val="004170D5"/>
    <w:rsid w:val="00417644"/>
    <w:rsid w:val="004218B8"/>
    <w:rsid w:val="00421E2E"/>
    <w:rsid w:val="00422A24"/>
    <w:rsid w:val="00424271"/>
    <w:rsid w:val="00424286"/>
    <w:rsid w:val="004244EA"/>
    <w:rsid w:val="004250D6"/>
    <w:rsid w:val="004253CA"/>
    <w:rsid w:val="00427C23"/>
    <w:rsid w:val="004301C8"/>
    <w:rsid w:val="00430D6B"/>
    <w:rsid w:val="00432FFD"/>
    <w:rsid w:val="00434E65"/>
    <w:rsid w:val="00435D95"/>
    <w:rsid w:val="00436717"/>
    <w:rsid w:val="00436E9B"/>
    <w:rsid w:val="0044024A"/>
    <w:rsid w:val="00441147"/>
    <w:rsid w:val="00441607"/>
    <w:rsid w:val="00441EA4"/>
    <w:rsid w:val="00442B8F"/>
    <w:rsid w:val="00442DF3"/>
    <w:rsid w:val="00442F99"/>
    <w:rsid w:val="00443752"/>
    <w:rsid w:val="0044387A"/>
    <w:rsid w:val="00443FE1"/>
    <w:rsid w:val="00443FF5"/>
    <w:rsid w:val="00444BE9"/>
    <w:rsid w:val="00445F62"/>
    <w:rsid w:val="00446CA1"/>
    <w:rsid w:val="004478A9"/>
    <w:rsid w:val="004517E5"/>
    <w:rsid w:val="00452C37"/>
    <w:rsid w:val="00453CF3"/>
    <w:rsid w:val="0045642C"/>
    <w:rsid w:val="00457D8C"/>
    <w:rsid w:val="00460707"/>
    <w:rsid w:val="00461791"/>
    <w:rsid w:val="00461CD9"/>
    <w:rsid w:val="00462686"/>
    <w:rsid w:val="00462CC5"/>
    <w:rsid w:val="0046498C"/>
    <w:rsid w:val="00464A90"/>
    <w:rsid w:val="00464E72"/>
    <w:rsid w:val="004655A2"/>
    <w:rsid w:val="00466613"/>
    <w:rsid w:val="00466AB1"/>
    <w:rsid w:val="004678B1"/>
    <w:rsid w:val="00470333"/>
    <w:rsid w:val="0047053E"/>
    <w:rsid w:val="00470F20"/>
    <w:rsid w:val="004717F0"/>
    <w:rsid w:val="00471A93"/>
    <w:rsid w:val="0047301C"/>
    <w:rsid w:val="004730A3"/>
    <w:rsid w:val="00473E0A"/>
    <w:rsid w:val="004741F6"/>
    <w:rsid w:val="00474234"/>
    <w:rsid w:val="00474859"/>
    <w:rsid w:val="00474E18"/>
    <w:rsid w:val="0047590C"/>
    <w:rsid w:val="00475C4D"/>
    <w:rsid w:val="004773DD"/>
    <w:rsid w:val="00480DC9"/>
    <w:rsid w:val="00481A30"/>
    <w:rsid w:val="00481A93"/>
    <w:rsid w:val="00481FD2"/>
    <w:rsid w:val="004820A0"/>
    <w:rsid w:val="00482AD1"/>
    <w:rsid w:val="00484C10"/>
    <w:rsid w:val="00485150"/>
    <w:rsid w:val="00485EEE"/>
    <w:rsid w:val="00486466"/>
    <w:rsid w:val="00486CF6"/>
    <w:rsid w:val="00486F59"/>
    <w:rsid w:val="00491192"/>
    <w:rsid w:val="004915FC"/>
    <w:rsid w:val="00492869"/>
    <w:rsid w:val="00492C65"/>
    <w:rsid w:val="00494540"/>
    <w:rsid w:val="0049472B"/>
    <w:rsid w:val="004958F8"/>
    <w:rsid w:val="00496DBA"/>
    <w:rsid w:val="004970EB"/>
    <w:rsid w:val="004A19DC"/>
    <w:rsid w:val="004A40D1"/>
    <w:rsid w:val="004A4292"/>
    <w:rsid w:val="004A4346"/>
    <w:rsid w:val="004A5622"/>
    <w:rsid w:val="004A5DEE"/>
    <w:rsid w:val="004B16DA"/>
    <w:rsid w:val="004B1C68"/>
    <w:rsid w:val="004B46CB"/>
    <w:rsid w:val="004B4AF4"/>
    <w:rsid w:val="004B53C2"/>
    <w:rsid w:val="004B72D5"/>
    <w:rsid w:val="004C110A"/>
    <w:rsid w:val="004C1125"/>
    <w:rsid w:val="004C27F7"/>
    <w:rsid w:val="004C4828"/>
    <w:rsid w:val="004C53CD"/>
    <w:rsid w:val="004C5CF5"/>
    <w:rsid w:val="004C69F1"/>
    <w:rsid w:val="004C6A8F"/>
    <w:rsid w:val="004C6C1C"/>
    <w:rsid w:val="004C6F12"/>
    <w:rsid w:val="004C76B7"/>
    <w:rsid w:val="004D05D5"/>
    <w:rsid w:val="004D0A37"/>
    <w:rsid w:val="004D0C8C"/>
    <w:rsid w:val="004D0F38"/>
    <w:rsid w:val="004D1229"/>
    <w:rsid w:val="004D289D"/>
    <w:rsid w:val="004D2EF3"/>
    <w:rsid w:val="004D366F"/>
    <w:rsid w:val="004D36B5"/>
    <w:rsid w:val="004D39AE"/>
    <w:rsid w:val="004D5AB1"/>
    <w:rsid w:val="004D5E70"/>
    <w:rsid w:val="004D66D4"/>
    <w:rsid w:val="004D748D"/>
    <w:rsid w:val="004D77EF"/>
    <w:rsid w:val="004D78AF"/>
    <w:rsid w:val="004D7FE5"/>
    <w:rsid w:val="004E0734"/>
    <w:rsid w:val="004E126C"/>
    <w:rsid w:val="004E32A6"/>
    <w:rsid w:val="004E3D58"/>
    <w:rsid w:val="004E4E3F"/>
    <w:rsid w:val="004E52A2"/>
    <w:rsid w:val="004E5485"/>
    <w:rsid w:val="004E66C9"/>
    <w:rsid w:val="004E675F"/>
    <w:rsid w:val="004E6E44"/>
    <w:rsid w:val="004E7BF1"/>
    <w:rsid w:val="004F0F55"/>
    <w:rsid w:val="004F1308"/>
    <w:rsid w:val="004F1A1B"/>
    <w:rsid w:val="004F1E83"/>
    <w:rsid w:val="004F2954"/>
    <w:rsid w:val="004F30F3"/>
    <w:rsid w:val="004F36CC"/>
    <w:rsid w:val="004F4243"/>
    <w:rsid w:val="004F5C90"/>
    <w:rsid w:val="004F6CF1"/>
    <w:rsid w:val="004F71EA"/>
    <w:rsid w:val="004F7C24"/>
    <w:rsid w:val="004F7C4F"/>
    <w:rsid w:val="00501229"/>
    <w:rsid w:val="00501779"/>
    <w:rsid w:val="00501BD1"/>
    <w:rsid w:val="00501BDE"/>
    <w:rsid w:val="00502E75"/>
    <w:rsid w:val="005033D9"/>
    <w:rsid w:val="005040F5"/>
    <w:rsid w:val="005040FC"/>
    <w:rsid w:val="0050423A"/>
    <w:rsid w:val="00504BCA"/>
    <w:rsid w:val="00506697"/>
    <w:rsid w:val="005068F7"/>
    <w:rsid w:val="00507F6A"/>
    <w:rsid w:val="00510C60"/>
    <w:rsid w:val="00511891"/>
    <w:rsid w:val="00512253"/>
    <w:rsid w:val="0051250B"/>
    <w:rsid w:val="00512BF0"/>
    <w:rsid w:val="00514B63"/>
    <w:rsid w:val="00515636"/>
    <w:rsid w:val="00520671"/>
    <w:rsid w:val="00521F5D"/>
    <w:rsid w:val="00522FED"/>
    <w:rsid w:val="00525947"/>
    <w:rsid w:val="005260B7"/>
    <w:rsid w:val="00526553"/>
    <w:rsid w:val="00526E8B"/>
    <w:rsid w:val="00527ABD"/>
    <w:rsid w:val="00527CE8"/>
    <w:rsid w:val="00530FA7"/>
    <w:rsid w:val="00532140"/>
    <w:rsid w:val="0053368E"/>
    <w:rsid w:val="005359C4"/>
    <w:rsid w:val="00535BC4"/>
    <w:rsid w:val="00537B9F"/>
    <w:rsid w:val="00537C33"/>
    <w:rsid w:val="00537F6A"/>
    <w:rsid w:val="00541073"/>
    <w:rsid w:val="005417AF"/>
    <w:rsid w:val="005417D1"/>
    <w:rsid w:val="00541891"/>
    <w:rsid w:val="00542834"/>
    <w:rsid w:val="00543455"/>
    <w:rsid w:val="00545B1E"/>
    <w:rsid w:val="005471FE"/>
    <w:rsid w:val="005477A9"/>
    <w:rsid w:val="00547CAE"/>
    <w:rsid w:val="0055084F"/>
    <w:rsid w:val="005516BB"/>
    <w:rsid w:val="00551860"/>
    <w:rsid w:val="00553295"/>
    <w:rsid w:val="00553C09"/>
    <w:rsid w:val="00555297"/>
    <w:rsid w:val="00555663"/>
    <w:rsid w:val="00556701"/>
    <w:rsid w:val="005577C7"/>
    <w:rsid w:val="00557972"/>
    <w:rsid w:val="0056026E"/>
    <w:rsid w:val="00560724"/>
    <w:rsid w:val="005609B4"/>
    <w:rsid w:val="005610F0"/>
    <w:rsid w:val="0056176A"/>
    <w:rsid w:val="005623C7"/>
    <w:rsid w:val="00563F58"/>
    <w:rsid w:val="00564C05"/>
    <w:rsid w:val="00570A78"/>
    <w:rsid w:val="0057107D"/>
    <w:rsid w:val="00571956"/>
    <w:rsid w:val="00572611"/>
    <w:rsid w:val="00572823"/>
    <w:rsid w:val="00573766"/>
    <w:rsid w:val="005750D7"/>
    <w:rsid w:val="00576EF2"/>
    <w:rsid w:val="005776C4"/>
    <w:rsid w:val="00577ECC"/>
    <w:rsid w:val="0058053C"/>
    <w:rsid w:val="00580750"/>
    <w:rsid w:val="00581216"/>
    <w:rsid w:val="00581A44"/>
    <w:rsid w:val="00582752"/>
    <w:rsid w:val="00582E09"/>
    <w:rsid w:val="00583527"/>
    <w:rsid w:val="005843AE"/>
    <w:rsid w:val="0058517C"/>
    <w:rsid w:val="005852E2"/>
    <w:rsid w:val="005853BC"/>
    <w:rsid w:val="005858CC"/>
    <w:rsid w:val="00585B90"/>
    <w:rsid w:val="00587091"/>
    <w:rsid w:val="005903D8"/>
    <w:rsid w:val="0059063F"/>
    <w:rsid w:val="00590ED8"/>
    <w:rsid w:val="005917DA"/>
    <w:rsid w:val="00594724"/>
    <w:rsid w:val="00595196"/>
    <w:rsid w:val="0059551A"/>
    <w:rsid w:val="00595530"/>
    <w:rsid w:val="0059554C"/>
    <w:rsid w:val="005965AE"/>
    <w:rsid w:val="0059715A"/>
    <w:rsid w:val="005A01E9"/>
    <w:rsid w:val="005A2207"/>
    <w:rsid w:val="005A229C"/>
    <w:rsid w:val="005A268D"/>
    <w:rsid w:val="005A2995"/>
    <w:rsid w:val="005A39BA"/>
    <w:rsid w:val="005A4BCE"/>
    <w:rsid w:val="005A5C76"/>
    <w:rsid w:val="005A7073"/>
    <w:rsid w:val="005A74F3"/>
    <w:rsid w:val="005A7740"/>
    <w:rsid w:val="005A791C"/>
    <w:rsid w:val="005B02AA"/>
    <w:rsid w:val="005B0D70"/>
    <w:rsid w:val="005B1F11"/>
    <w:rsid w:val="005B23EC"/>
    <w:rsid w:val="005B2861"/>
    <w:rsid w:val="005B3636"/>
    <w:rsid w:val="005B3DAE"/>
    <w:rsid w:val="005B5092"/>
    <w:rsid w:val="005B6685"/>
    <w:rsid w:val="005B6876"/>
    <w:rsid w:val="005C0BA9"/>
    <w:rsid w:val="005C1CA1"/>
    <w:rsid w:val="005C2E5D"/>
    <w:rsid w:val="005C46D1"/>
    <w:rsid w:val="005C5783"/>
    <w:rsid w:val="005D0211"/>
    <w:rsid w:val="005D0385"/>
    <w:rsid w:val="005D0AAF"/>
    <w:rsid w:val="005D0BD9"/>
    <w:rsid w:val="005D1627"/>
    <w:rsid w:val="005D16B3"/>
    <w:rsid w:val="005D1F10"/>
    <w:rsid w:val="005D2ED5"/>
    <w:rsid w:val="005D470F"/>
    <w:rsid w:val="005D54FC"/>
    <w:rsid w:val="005D5629"/>
    <w:rsid w:val="005D5C16"/>
    <w:rsid w:val="005D6928"/>
    <w:rsid w:val="005D79EB"/>
    <w:rsid w:val="005E01C1"/>
    <w:rsid w:val="005E02A9"/>
    <w:rsid w:val="005E1672"/>
    <w:rsid w:val="005E19B9"/>
    <w:rsid w:val="005E2651"/>
    <w:rsid w:val="005E3842"/>
    <w:rsid w:val="005E3B97"/>
    <w:rsid w:val="005E4700"/>
    <w:rsid w:val="005E4D4A"/>
    <w:rsid w:val="005E4D5D"/>
    <w:rsid w:val="005E4D9E"/>
    <w:rsid w:val="005E52E3"/>
    <w:rsid w:val="005E568C"/>
    <w:rsid w:val="005E60B8"/>
    <w:rsid w:val="005E6BC2"/>
    <w:rsid w:val="005E7960"/>
    <w:rsid w:val="005F1EBE"/>
    <w:rsid w:val="005F276F"/>
    <w:rsid w:val="005F5E37"/>
    <w:rsid w:val="005F67AB"/>
    <w:rsid w:val="005F74A1"/>
    <w:rsid w:val="00603085"/>
    <w:rsid w:val="0060367A"/>
    <w:rsid w:val="0060376D"/>
    <w:rsid w:val="00606254"/>
    <w:rsid w:val="00607463"/>
    <w:rsid w:val="00610E9C"/>
    <w:rsid w:val="00610EC3"/>
    <w:rsid w:val="00611E37"/>
    <w:rsid w:val="006121E3"/>
    <w:rsid w:val="00612502"/>
    <w:rsid w:val="006128D5"/>
    <w:rsid w:val="0061298D"/>
    <w:rsid w:val="006129D0"/>
    <w:rsid w:val="006134A0"/>
    <w:rsid w:val="0061379C"/>
    <w:rsid w:val="006138B3"/>
    <w:rsid w:val="00613BCA"/>
    <w:rsid w:val="00613D2B"/>
    <w:rsid w:val="00613DC2"/>
    <w:rsid w:val="0061472D"/>
    <w:rsid w:val="006162E4"/>
    <w:rsid w:val="006166A9"/>
    <w:rsid w:val="00616E0A"/>
    <w:rsid w:val="006206E3"/>
    <w:rsid w:val="00623978"/>
    <w:rsid w:val="00623E36"/>
    <w:rsid w:val="006240E0"/>
    <w:rsid w:val="006244AF"/>
    <w:rsid w:val="00624CFB"/>
    <w:rsid w:val="00624DEE"/>
    <w:rsid w:val="00624EBD"/>
    <w:rsid w:val="0062545A"/>
    <w:rsid w:val="006268A2"/>
    <w:rsid w:val="00630E84"/>
    <w:rsid w:val="00632E6D"/>
    <w:rsid w:val="00632EBA"/>
    <w:rsid w:val="00634C99"/>
    <w:rsid w:val="006353D7"/>
    <w:rsid w:val="006370F4"/>
    <w:rsid w:val="00637F00"/>
    <w:rsid w:val="0064181A"/>
    <w:rsid w:val="0064182F"/>
    <w:rsid w:val="00643D07"/>
    <w:rsid w:val="006461FC"/>
    <w:rsid w:val="00650103"/>
    <w:rsid w:val="00651559"/>
    <w:rsid w:val="0065183D"/>
    <w:rsid w:val="0065188B"/>
    <w:rsid w:val="006527C5"/>
    <w:rsid w:val="00653282"/>
    <w:rsid w:val="00654F99"/>
    <w:rsid w:val="006554AD"/>
    <w:rsid w:val="00656441"/>
    <w:rsid w:val="00656D54"/>
    <w:rsid w:val="00657C1E"/>
    <w:rsid w:val="006611CD"/>
    <w:rsid w:val="00661B57"/>
    <w:rsid w:val="00662236"/>
    <w:rsid w:val="00662267"/>
    <w:rsid w:val="00662F8E"/>
    <w:rsid w:val="00663BD5"/>
    <w:rsid w:val="00664631"/>
    <w:rsid w:val="00666D2A"/>
    <w:rsid w:val="006670BF"/>
    <w:rsid w:val="0066796E"/>
    <w:rsid w:val="00670419"/>
    <w:rsid w:val="00671233"/>
    <w:rsid w:val="00671CD9"/>
    <w:rsid w:val="00671D31"/>
    <w:rsid w:val="00673795"/>
    <w:rsid w:val="00673F0F"/>
    <w:rsid w:val="0067459A"/>
    <w:rsid w:val="00676541"/>
    <w:rsid w:val="006767D2"/>
    <w:rsid w:val="00676AC3"/>
    <w:rsid w:val="00676B66"/>
    <w:rsid w:val="006771D2"/>
    <w:rsid w:val="0067772D"/>
    <w:rsid w:val="006778AB"/>
    <w:rsid w:val="006832E1"/>
    <w:rsid w:val="006838AA"/>
    <w:rsid w:val="006848E1"/>
    <w:rsid w:val="00684E20"/>
    <w:rsid w:val="00685334"/>
    <w:rsid w:val="006854EB"/>
    <w:rsid w:val="00685A43"/>
    <w:rsid w:val="00686EEC"/>
    <w:rsid w:val="00687F91"/>
    <w:rsid w:val="006900C9"/>
    <w:rsid w:val="00690473"/>
    <w:rsid w:val="0069055B"/>
    <w:rsid w:val="006906BC"/>
    <w:rsid w:val="006917FC"/>
    <w:rsid w:val="0069253B"/>
    <w:rsid w:val="00692973"/>
    <w:rsid w:val="00693B1B"/>
    <w:rsid w:val="00694C0F"/>
    <w:rsid w:val="00695832"/>
    <w:rsid w:val="00696373"/>
    <w:rsid w:val="00697BE7"/>
    <w:rsid w:val="00697FBB"/>
    <w:rsid w:val="00697FC2"/>
    <w:rsid w:val="006A1494"/>
    <w:rsid w:val="006A1FB0"/>
    <w:rsid w:val="006A25F2"/>
    <w:rsid w:val="006A2A54"/>
    <w:rsid w:val="006A30A5"/>
    <w:rsid w:val="006A3179"/>
    <w:rsid w:val="006A4307"/>
    <w:rsid w:val="006A485D"/>
    <w:rsid w:val="006A4BB1"/>
    <w:rsid w:val="006A4FC5"/>
    <w:rsid w:val="006A5287"/>
    <w:rsid w:val="006A6CD7"/>
    <w:rsid w:val="006B0AB9"/>
    <w:rsid w:val="006B12D5"/>
    <w:rsid w:val="006B1880"/>
    <w:rsid w:val="006B18EF"/>
    <w:rsid w:val="006B2748"/>
    <w:rsid w:val="006B2773"/>
    <w:rsid w:val="006B3254"/>
    <w:rsid w:val="006B380D"/>
    <w:rsid w:val="006B3E67"/>
    <w:rsid w:val="006B4701"/>
    <w:rsid w:val="006B4C59"/>
    <w:rsid w:val="006B7192"/>
    <w:rsid w:val="006C28B1"/>
    <w:rsid w:val="006C3885"/>
    <w:rsid w:val="006C3DBE"/>
    <w:rsid w:val="006C48BE"/>
    <w:rsid w:val="006C61FC"/>
    <w:rsid w:val="006C63CF"/>
    <w:rsid w:val="006C68A5"/>
    <w:rsid w:val="006C6B74"/>
    <w:rsid w:val="006C6ED1"/>
    <w:rsid w:val="006C77A2"/>
    <w:rsid w:val="006C7D8F"/>
    <w:rsid w:val="006D0099"/>
    <w:rsid w:val="006D09E4"/>
    <w:rsid w:val="006D2072"/>
    <w:rsid w:val="006D2189"/>
    <w:rsid w:val="006D2E32"/>
    <w:rsid w:val="006D3A7D"/>
    <w:rsid w:val="006D3CF1"/>
    <w:rsid w:val="006D5115"/>
    <w:rsid w:val="006D5237"/>
    <w:rsid w:val="006D591B"/>
    <w:rsid w:val="006D6058"/>
    <w:rsid w:val="006D6232"/>
    <w:rsid w:val="006D6616"/>
    <w:rsid w:val="006D6D38"/>
    <w:rsid w:val="006D6F00"/>
    <w:rsid w:val="006D7044"/>
    <w:rsid w:val="006D78F4"/>
    <w:rsid w:val="006D792E"/>
    <w:rsid w:val="006E0006"/>
    <w:rsid w:val="006E0FF6"/>
    <w:rsid w:val="006E2491"/>
    <w:rsid w:val="006E37B6"/>
    <w:rsid w:val="006E4561"/>
    <w:rsid w:val="006E4E69"/>
    <w:rsid w:val="006E4F12"/>
    <w:rsid w:val="006E565B"/>
    <w:rsid w:val="006E5CC1"/>
    <w:rsid w:val="006E6B18"/>
    <w:rsid w:val="006E6E73"/>
    <w:rsid w:val="006F074A"/>
    <w:rsid w:val="006F1565"/>
    <w:rsid w:val="006F2631"/>
    <w:rsid w:val="006F31F0"/>
    <w:rsid w:val="006F384F"/>
    <w:rsid w:val="006F4597"/>
    <w:rsid w:val="006F4A1E"/>
    <w:rsid w:val="006F6073"/>
    <w:rsid w:val="006F61C1"/>
    <w:rsid w:val="00700644"/>
    <w:rsid w:val="00701A3E"/>
    <w:rsid w:val="00701D61"/>
    <w:rsid w:val="00702DA5"/>
    <w:rsid w:val="00703903"/>
    <w:rsid w:val="007041F2"/>
    <w:rsid w:val="00704D5C"/>
    <w:rsid w:val="00704EF7"/>
    <w:rsid w:val="00705A82"/>
    <w:rsid w:val="00705EC3"/>
    <w:rsid w:val="00706066"/>
    <w:rsid w:val="00707E1D"/>
    <w:rsid w:val="007101D3"/>
    <w:rsid w:val="00710EBA"/>
    <w:rsid w:val="007116E3"/>
    <w:rsid w:val="007119F7"/>
    <w:rsid w:val="00711BE6"/>
    <w:rsid w:val="00711DF5"/>
    <w:rsid w:val="007121E6"/>
    <w:rsid w:val="00712690"/>
    <w:rsid w:val="007131B6"/>
    <w:rsid w:val="007134E7"/>
    <w:rsid w:val="00713C5E"/>
    <w:rsid w:val="007154AC"/>
    <w:rsid w:val="0071588F"/>
    <w:rsid w:val="00716339"/>
    <w:rsid w:val="00721053"/>
    <w:rsid w:val="0072123E"/>
    <w:rsid w:val="0072150F"/>
    <w:rsid w:val="00721776"/>
    <w:rsid w:val="007225C6"/>
    <w:rsid w:val="0072270C"/>
    <w:rsid w:val="0072283D"/>
    <w:rsid w:val="007228BD"/>
    <w:rsid w:val="00722A66"/>
    <w:rsid w:val="00723915"/>
    <w:rsid w:val="00723EB9"/>
    <w:rsid w:val="00724559"/>
    <w:rsid w:val="0072502C"/>
    <w:rsid w:val="00726DA2"/>
    <w:rsid w:val="00726EB3"/>
    <w:rsid w:val="00730524"/>
    <w:rsid w:val="00731DA2"/>
    <w:rsid w:val="00732689"/>
    <w:rsid w:val="0073318D"/>
    <w:rsid w:val="0073374D"/>
    <w:rsid w:val="007343A6"/>
    <w:rsid w:val="0073449D"/>
    <w:rsid w:val="007349CF"/>
    <w:rsid w:val="007353C0"/>
    <w:rsid w:val="00735C1B"/>
    <w:rsid w:val="007361E6"/>
    <w:rsid w:val="00736848"/>
    <w:rsid w:val="007379FC"/>
    <w:rsid w:val="00737A2D"/>
    <w:rsid w:val="00737DF4"/>
    <w:rsid w:val="00740656"/>
    <w:rsid w:val="00740B20"/>
    <w:rsid w:val="007416BD"/>
    <w:rsid w:val="007433E4"/>
    <w:rsid w:val="007435A2"/>
    <w:rsid w:val="00743F21"/>
    <w:rsid w:val="00745F50"/>
    <w:rsid w:val="0074794F"/>
    <w:rsid w:val="007503CA"/>
    <w:rsid w:val="007508DB"/>
    <w:rsid w:val="00751992"/>
    <w:rsid w:val="00752855"/>
    <w:rsid w:val="00752BEF"/>
    <w:rsid w:val="00752C87"/>
    <w:rsid w:val="00753482"/>
    <w:rsid w:val="00755FDE"/>
    <w:rsid w:val="007564BD"/>
    <w:rsid w:val="00757FA7"/>
    <w:rsid w:val="00760711"/>
    <w:rsid w:val="00761DFE"/>
    <w:rsid w:val="00762C9B"/>
    <w:rsid w:val="00762F15"/>
    <w:rsid w:val="00763A23"/>
    <w:rsid w:val="00763B6E"/>
    <w:rsid w:val="00764642"/>
    <w:rsid w:val="007652C3"/>
    <w:rsid w:val="007658E7"/>
    <w:rsid w:val="00765B1E"/>
    <w:rsid w:val="00767F98"/>
    <w:rsid w:val="007725A0"/>
    <w:rsid w:val="00772C87"/>
    <w:rsid w:val="00773AF8"/>
    <w:rsid w:val="00773D3D"/>
    <w:rsid w:val="007744A3"/>
    <w:rsid w:val="00775E60"/>
    <w:rsid w:val="0078187A"/>
    <w:rsid w:val="00781A50"/>
    <w:rsid w:val="0078454E"/>
    <w:rsid w:val="007848D8"/>
    <w:rsid w:val="007852DD"/>
    <w:rsid w:val="00785510"/>
    <w:rsid w:val="00785987"/>
    <w:rsid w:val="007862E0"/>
    <w:rsid w:val="00786B8B"/>
    <w:rsid w:val="00786C45"/>
    <w:rsid w:val="007877A7"/>
    <w:rsid w:val="00787C49"/>
    <w:rsid w:val="00790752"/>
    <w:rsid w:val="00790A7D"/>
    <w:rsid w:val="00790C1B"/>
    <w:rsid w:val="007911DB"/>
    <w:rsid w:val="007915F7"/>
    <w:rsid w:val="00792996"/>
    <w:rsid w:val="00792DB9"/>
    <w:rsid w:val="00793765"/>
    <w:rsid w:val="00793F53"/>
    <w:rsid w:val="0079683D"/>
    <w:rsid w:val="007A1F51"/>
    <w:rsid w:val="007A2689"/>
    <w:rsid w:val="007A27DE"/>
    <w:rsid w:val="007A3184"/>
    <w:rsid w:val="007A33A7"/>
    <w:rsid w:val="007A3920"/>
    <w:rsid w:val="007A4341"/>
    <w:rsid w:val="007A471E"/>
    <w:rsid w:val="007A4952"/>
    <w:rsid w:val="007A4B7A"/>
    <w:rsid w:val="007A562D"/>
    <w:rsid w:val="007A5DE0"/>
    <w:rsid w:val="007A71E0"/>
    <w:rsid w:val="007A720B"/>
    <w:rsid w:val="007A7D59"/>
    <w:rsid w:val="007A7D87"/>
    <w:rsid w:val="007B03BD"/>
    <w:rsid w:val="007B0633"/>
    <w:rsid w:val="007B0C94"/>
    <w:rsid w:val="007B10B5"/>
    <w:rsid w:val="007B11DB"/>
    <w:rsid w:val="007B1945"/>
    <w:rsid w:val="007B402C"/>
    <w:rsid w:val="007B5B86"/>
    <w:rsid w:val="007B5F9A"/>
    <w:rsid w:val="007B60BF"/>
    <w:rsid w:val="007C05E3"/>
    <w:rsid w:val="007C21B2"/>
    <w:rsid w:val="007C271F"/>
    <w:rsid w:val="007C3BA3"/>
    <w:rsid w:val="007C3D05"/>
    <w:rsid w:val="007C520B"/>
    <w:rsid w:val="007C5813"/>
    <w:rsid w:val="007C591E"/>
    <w:rsid w:val="007C6C0F"/>
    <w:rsid w:val="007C7A39"/>
    <w:rsid w:val="007D07DF"/>
    <w:rsid w:val="007D1423"/>
    <w:rsid w:val="007D1A08"/>
    <w:rsid w:val="007D2E2E"/>
    <w:rsid w:val="007D34E9"/>
    <w:rsid w:val="007D3C32"/>
    <w:rsid w:val="007D48D3"/>
    <w:rsid w:val="007D5E17"/>
    <w:rsid w:val="007D6566"/>
    <w:rsid w:val="007D6999"/>
    <w:rsid w:val="007D70F0"/>
    <w:rsid w:val="007D7683"/>
    <w:rsid w:val="007D7FC3"/>
    <w:rsid w:val="007E0675"/>
    <w:rsid w:val="007E1575"/>
    <w:rsid w:val="007E2512"/>
    <w:rsid w:val="007E31B9"/>
    <w:rsid w:val="007E35F6"/>
    <w:rsid w:val="007E45FB"/>
    <w:rsid w:val="007E482F"/>
    <w:rsid w:val="007E5BC2"/>
    <w:rsid w:val="007E64D6"/>
    <w:rsid w:val="007E7823"/>
    <w:rsid w:val="007E7B1A"/>
    <w:rsid w:val="007F0211"/>
    <w:rsid w:val="007F2BB2"/>
    <w:rsid w:val="007F2E83"/>
    <w:rsid w:val="007F3F5E"/>
    <w:rsid w:val="007F502B"/>
    <w:rsid w:val="007F57BC"/>
    <w:rsid w:val="007F5F0D"/>
    <w:rsid w:val="007F628F"/>
    <w:rsid w:val="007F7841"/>
    <w:rsid w:val="007F7DDC"/>
    <w:rsid w:val="0080055A"/>
    <w:rsid w:val="00802425"/>
    <w:rsid w:val="00802C6F"/>
    <w:rsid w:val="00805440"/>
    <w:rsid w:val="00806F11"/>
    <w:rsid w:val="00806FB0"/>
    <w:rsid w:val="008076C3"/>
    <w:rsid w:val="00807A01"/>
    <w:rsid w:val="008108D1"/>
    <w:rsid w:val="008111DF"/>
    <w:rsid w:val="00811703"/>
    <w:rsid w:val="008127DD"/>
    <w:rsid w:val="008128BD"/>
    <w:rsid w:val="00812F5B"/>
    <w:rsid w:val="0081394E"/>
    <w:rsid w:val="0081562E"/>
    <w:rsid w:val="008157E3"/>
    <w:rsid w:val="00815A09"/>
    <w:rsid w:val="008161ED"/>
    <w:rsid w:val="0081675F"/>
    <w:rsid w:val="008202C5"/>
    <w:rsid w:val="008203DC"/>
    <w:rsid w:val="008208E5"/>
    <w:rsid w:val="00821E94"/>
    <w:rsid w:val="00822A05"/>
    <w:rsid w:val="00823831"/>
    <w:rsid w:val="00823862"/>
    <w:rsid w:val="00823D09"/>
    <w:rsid w:val="00823E3C"/>
    <w:rsid w:val="00824002"/>
    <w:rsid w:val="00825254"/>
    <w:rsid w:val="0082575E"/>
    <w:rsid w:val="00825EA2"/>
    <w:rsid w:val="0083104B"/>
    <w:rsid w:val="008325E0"/>
    <w:rsid w:val="00832D31"/>
    <w:rsid w:val="00833C76"/>
    <w:rsid w:val="00834670"/>
    <w:rsid w:val="00834928"/>
    <w:rsid w:val="00834CDE"/>
    <w:rsid w:val="00835495"/>
    <w:rsid w:val="00835C6F"/>
    <w:rsid w:val="00836AFC"/>
    <w:rsid w:val="00837F3B"/>
    <w:rsid w:val="00840425"/>
    <w:rsid w:val="00841329"/>
    <w:rsid w:val="00841351"/>
    <w:rsid w:val="008415DE"/>
    <w:rsid w:val="00841EB6"/>
    <w:rsid w:val="008430BC"/>
    <w:rsid w:val="00844937"/>
    <w:rsid w:val="00845245"/>
    <w:rsid w:val="0084571F"/>
    <w:rsid w:val="00847420"/>
    <w:rsid w:val="00847E0A"/>
    <w:rsid w:val="00850906"/>
    <w:rsid w:val="00851690"/>
    <w:rsid w:val="00851D8F"/>
    <w:rsid w:val="00851E7F"/>
    <w:rsid w:val="0085297B"/>
    <w:rsid w:val="00852D69"/>
    <w:rsid w:val="00856D3C"/>
    <w:rsid w:val="00857420"/>
    <w:rsid w:val="00860278"/>
    <w:rsid w:val="008619D6"/>
    <w:rsid w:val="00861D62"/>
    <w:rsid w:val="00863C1C"/>
    <w:rsid w:val="00864BCC"/>
    <w:rsid w:val="00865F25"/>
    <w:rsid w:val="00866292"/>
    <w:rsid w:val="00870D2E"/>
    <w:rsid w:val="00871886"/>
    <w:rsid w:val="0087355D"/>
    <w:rsid w:val="00873882"/>
    <w:rsid w:val="00873F3F"/>
    <w:rsid w:val="0087481B"/>
    <w:rsid w:val="00874E46"/>
    <w:rsid w:val="00874E83"/>
    <w:rsid w:val="00875BE5"/>
    <w:rsid w:val="00875E45"/>
    <w:rsid w:val="00875EC3"/>
    <w:rsid w:val="00876516"/>
    <w:rsid w:val="00876C9C"/>
    <w:rsid w:val="00877370"/>
    <w:rsid w:val="00880285"/>
    <w:rsid w:val="00881D73"/>
    <w:rsid w:val="00881DBA"/>
    <w:rsid w:val="00881F7B"/>
    <w:rsid w:val="00883849"/>
    <w:rsid w:val="00885E24"/>
    <w:rsid w:val="00885F76"/>
    <w:rsid w:val="00886CA8"/>
    <w:rsid w:val="00886F7A"/>
    <w:rsid w:val="00887048"/>
    <w:rsid w:val="008875EA"/>
    <w:rsid w:val="0089018D"/>
    <w:rsid w:val="0089082B"/>
    <w:rsid w:val="008916E6"/>
    <w:rsid w:val="00894821"/>
    <w:rsid w:val="00896D66"/>
    <w:rsid w:val="008970C3"/>
    <w:rsid w:val="008971F5"/>
    <w:rsid w:val="008972BD"/>
    <w:rsid w:val="008974F1"/>
    <w:rsid w:val="00897833"/>
    <w:rsid w:val="008A0B30"/>
    <w:rsid w:val="008A0EBF"/>
    <w:rsid w:val="008A1600"/>
    <w:rsid w:val="008A17A6"/>
    <w:rsid w:val="008A26AA"/>
    <w:rsid w:val="008A2A17"/>
    <w:rsid w:val="008A2D7B"/>
    <w:rsid w:val="008A3C23"/>
    <w:rsid w:val="008A47CF"/>
    <w:rsid w:val="008A5153"/>
    <w:rsid w:val="008A615F"/>
    <w:rsid w:val="008A6611"/>
    <w:rsid w:val="008A7722"/>
    <w:rsid w:val="008A7932"/>
    <w:rsid w:val="008B0231"/>
    <w:rsid w:val="008B1D95"/>
    <w:rsid w:val="008B2416"/>
    <w:rsid w:val="008B2F8D"/>
    <w:rsid w:val="008B596B"/>
    <w:rsid w:val="008B5AEE"/>
    <w:rsid w:val="008B5CD2"/>
    <w:rsid w:val="008B61B2"/>
    <w:rsid w:val="008B7A35"/>
    <w:rsid w:val="008C45C8"/>
    <w:rsid w:val="008C4CD2"/>
    <w:rsid w:val="008C5C82"/>
    <w:rsid w:val="008C7C3B"/>
    <w:rsid w:val="008D0E1F"/>
    <w:rsid w:val="008D1C9E"/>
    <w:rsid w:val="008D26C0"/>
    <w:rsid w:val="008D27F4"/>
    <w:rsid w:val="008D44AD"/>
    <w:rsid w:val="008D51CE"/>
    <w:rsid w:val="008D5CD5"/>
    <w:rsid w:val="008D6CD1"/>
    <w:rsid w:val="008D6E4D"/>
    <w:rsid w:val="008D6FCC"/>
    <w:rsid w:val="008E0947"/>
    <w:rsid w:val="008E1456"/>
    <w:rsid w:val="008E1821"/>
    <w:rsid w:val="008E1D30"/>
    <w:rsid w:val="008E1E3C"/>
    <w:rsid w:val="008E5BF5"/>
    <w:rsid w:val="008E5C60"/>
    <w:rsid w:val="008E6500"/>
    <w:rsid w:val="008E7BAF"/>
    <w:rsid w:val="008F03A2"/>
    <w:rsid w:val="008F1863"/>
    <w:rsid w:val="008F1F5D"/>
    <w:rsid w:val="008F25A5"/>
    <w:rsid w:val="008F2F94"/>
    <w:rsid w:val="008F3D97"/>
    <w:rsid w:val="008F45A9"/>
    <w:rsid w:val="008F503E"/>
    <w:rsid w:val="008F5E62"/>
    <w:rsid w:val="008F6229"/>
    <w:rsid w:val="008F62F2"/>
    <w:rsid w:val="008F65C4"/>
    <w:rsid w:val="008F774B"/>
    <w:rsid w:val="009008AB"/>
    <w:rsid w:val="009013AC"/>
    <w:rsid w:val="00901946"/>
    <w:rsid w:val="00902F45"/>
    <w:rsid w:val="009034BD"/>
    <w:rsid w:val="00904520"/>
    <w:rsid w:val="00905262"/>
    <w:rsid w:val="00906A12"/>
    <w:rsid w:val="00907CA8"/>
    <w:rsid w:val="00907E9A"/>
    <w:rsid w:val="00911EF5"/>
    <w:rsid w:val="00912BF1"/>
    <w:rsid w:val="00912EA4"/>
    <w:rsid w:val="00914AA8"/>
    <w:rsid w:val="00915C03"/>
    <w:rsid w:val="00916B2E"/>
    <w:rsid w:val="00917029"/>
    <w:rsid w:val="009206E3"/>
    <w:rsid w:val="00921C4F"/>
    <w:rsid w:val="00922E8D"/>
    <w:rsid w:val="00924D77"/>
    <w:rsid w:val="00925668"/>
    <w:rsid w:val="009256EA"/>
    <w:rsid w:val="0092591B"/>
    <w:rsid w:val="00926B1A"/>
    <w:rsid w:val="0092734D"/>
    <w:rsid w:val="009275E6"/>
    <w:rsid w:val="00930A57"/>
    <w:rsid w:val="00930CC4"/>
    <w:rsid w:val="009312E2"/>
    <w:rsid w:val="00934329"/>
    <w:rsid w:val="00934B7A"/>
    <w:rsid w:val="00937208"/>
    <w:rsid w:val="00937F11"/>
    <w:rsid w:val="0094072D"/>
    <w:rsid w:val="00941EC8"/>
    <w:rsid w:val="00942240"/>
    <w:rsid w:val="00942DEE"/>
    <w:rsid w:val="00943601"/>
    <w:rsid w:val="00943ED8"/>
    <w:rsid w:val="009449C8"/>
    <w:rsid w:val="009459A6"/>
    <w:rsid w:val="00945EB6"/>
    <w:rsid w:val="00947908"/>
    <w:rsid w:val="00947C65"/>
    <w:rsid w:val="00947E73"/>
    <w:rsid w:val="00947ED9"/>
    <w:rsid w:val="00950336"/>
    <w:rsid w:val="00952160"/>
    <w:rsid w:val="00952186"/>
    <w:rsid w:val="009522C2"/>
    <w:rsid w:val="009527CD"/>
    <w:rsid w:val="00952CAF"/>
    <w:rsid w:val="0095365C"/>
    <w:rsid w:val="00953FEB"/>
    <w:rsid w:val="009562CE"/>
    <w:rsid w:val="00956A63"/>
    <w:rsid w:val="00957EAC"/>
    <w:rsid w:val="00960CA1"/>
    <w:rsid w:val="0096158A"/>
    <w:rsid w:val="009617A6"/>
    <w:rsid w:val="00962085"/>
    <w:rsid w:val="009626F7"/>
    <w:rsid w:val="00962864"/>
    <w:rsid w:val="00962894"/>
    <w:rsid w:val="00962F3F"/>
    <w:rsid w:val="009632DA"/>
    <w:rsid w:val="00964000"/>
    <w:rsid w:val="0096427B"/>
    <w:rsid w:val="00964830"/>
    <w:rsid w:val="00965A3A"/>
    <w:rsid w:val="00965D1D"/>
    <w:rsid w:val="0096674F"/>
    <w:rsid w:val="00967E80"/>
    <w:rsid w:val="009705E8"/>
    <w:rsid w:val="00970884"/>
    <w:rsid w:val="00972119"/>
    <w:rsid w:val="0097287F"/>
    <w:rsid w:val="00973AAF"/>
    <w:rsid w:val="009740DE"/>
    <w:rsid w:val="00974C97"/>
    <w:rsid w:val="00974CC1"/>
    <w:rsid w:val="00975AEE"/>
    <w:rsid w:val="00975C22"/>
    <w:rsid w:val="00976088"/>
    <w:rsid w:val="00977C19"/>
    <w:rsid w:val="009800D2"/>
    <w:rsid w:val="00980811"/>
    <w:rsid w:val="00980FC2"/>
    <w:rsid w:val="00981196"/>
    <w:rsid w:val="00982761"/>
    <w:rsid w:val="00983011"/>
    <w:rsid w:val="00983404"/>
    <w:rsid w:val="00983CE3"/>
    <w:rsid w:val="0098493C"/>
    <w:rsid w:val="00984B4A"/>
    <w:rsid w:val="00984F58"/>
    <w:rsid w:val="00985289"/>
    <w:rsid w:val="00986A24"/>
    <w:rsid w:val="009912AC"/>
    <w:rsid w:val="00992710"/>
    <w:rsid w:val="00993106"/>
    <w:rsid w:val="0099387A"/>
    <w:rsid w:val="00993C3A"/>
    <w:rsid w:val="00994D7C"/>
    <w:rsid w:val="00997321"/>
    <w:rsid w:val="00997353"/>
    <w:rsid w:val="0099749E"/>
    <w:rsid w:val="009976BE"/>
    <w:rsid w:val="009979BB"/>
    <w:rsid w:val="00997F8F"/>
    <w:rsid w:val="009A0E13"/>
    <w:rsid w:val="009A11A8"/>
    <w:rsid w:val="009A1AE3"/>
    <w:rsid w:val="009A21C9"/>
    <w:rsid w:val="009A3374"/>
    <w:rsid w:val="009A3529"/>
    <w:rsid w:val="009A375D"/>
    <w:rsid w:val="009A420F"/>
    <w:rsid w:val="009A482A"/>
    <w:rsid w:val="009A48E6"/>
    <w:rsid w:val="009A63F3"/>
    <w:rsid w:val="009A6574"/>
    <w:rsid w:val="009A707D"/>
    <w:rsid w:val="009A717C"/>
    <w:rsid w:val="009A7A49"/>
    <w:rsid w:val="009A7B5E"/>
    <w:rsid w:val="009B0221"/>
    <w:rsid w:val="009B0DFF"/>
    <w:rsid w:val="009B19B8"/>
    <w:rsid w:val="009B1FA6"/>
    <w:rsid w:val="009B274A"/>
    <w:rsid w:val="009B3029"/>
    <w:rsid w:val="009B3432"/>
    <w:rsid w:val="009B593F"/>
    <w:rsid w:val="009B6793"/>
    <w:rsid w:val="009B7446"/>
    <w:rsid w:val="009B79EC"/>
    <w:rsid w:val="009B7F02"/>
    <w:rsid w:val="009C1DDD"/>
    <w:rsid w:val="009C27E3"/>
    <w:rsid w:val="009C2E54"/>
    <w:rsid w:val="009C35EF"/>
    <w:rsid w:val="009C480E"/>
    <w:rsid w:val="009C52BA"/>
    <w:rsid w:val="009C5BDC"/>
    <w:rsid w:val="009C64CA"/>
    <w:rsid w:val="009C6F02"/>
    <w:rsid w:val="009C7E77"/>
    <w:rsid w:val="009D08AA"/>
    <w:rsid w:val="009D0ADB"/>
    <w:rsid w:val="009D17B2"/>
    <w:rsid w:val="009D188C"/>
    <w:rsid w:val="009D1C59"/>
    <w:rsid w:val="009D4707"/>
    <w:rsid w:val="009D4AC8"/>
    <w:rsid w:val="009D5557"/>
    <w:rsid w:val="009D7394"/>
    <w:rsid w:val="009D7842"/>
    <w:rsid w:val="009D7AA8"/>
    <w:rsid w:val="009E01B5"/>
    <w:rsid w:val="009E0208"/>
    <w:rsid w:val="009E0709"/>
    <w:rsid w:val="009E1407"/>
    <w:rsid w:val="009E18CA"/>
    <w:rsid w:val="009E2541"/>
    <w:rsid w:val="009E2FE0"/>
    <w:rsid w:val="009E30CD"/>
    <w:rsid w:val="009E3DE0"/>
    <w:rsid w:val="009E4146"/>
    <w:rsid w:val="009E6E50"/>
    <w:rsid w:val="009E7BBA"/>
    <w:rsid w:val="009F0523"/>
    <w:rsid w:val="009F2472"/>
    <w:rsid w:val="009F392F"/>
    <w:rsid w:val="009F399E"/>
    <w:rsid w:val="009F3A27"/>
    <w:rsid w:val="009F3F1A"/>
    <w:rsid w:val="009F4028"/>
    <w:rsid w:val="009F4137"/>
    <w:rsid w:val="009F496B"/>
    <w:rsid w:val="009F5500"/>
    <w:rsid w:val="009F77F1"/>
    <w:rsid w:val="009F7E98"/>
    <w:rsid w:val="00A033F1"/>
    <w:rsid w:val="00A034C2"/>
    <w:rsid w:val="00A04120"/>
    <w:rsid w:val="00A0418F"/>
    <w:rsid w:val="00A051B9"/>
    <w:rsid w:val="00A06737"/>
    <w:rsid w:val="00A06CBA"/>
    <w:rsid w:val="00A06DAF"/>
    <w:rsid w:val="00A070EC"/>
    <w:rsid w:val="00A10A85"/>
    <w:rsid w:val="00A10EA7"/>
    <w:rsid w:val="00A1107D"/>
    <w:rsid w:val="00A110E9"/>
    <w:rsid w:val="00A11B27"/>
    <w:rsid w:val="00A11BEF"/>
    <w:rsid w:val="00A12929"/>
    <w:rsid w:val="00A14AEB"/>
    <w:rsid w:val="00A14D08"/>
    <w:rsid w:val="00A163E1"/>
    <w:rsid w:val="00A1788D"/>
    <w:rsid w:val="00A2025C"/>
    <w:rsid w:val="00A2052B"/>
    <w:rsid w:val="00A208AB"/>
    <w:rsid w:val="00A21CF7"/>
    <w:rsid w:val="00A22ED8"/>
    <w:rsid w:val="00A2551E"/>
    <w:rsid w:val="00A25789"/>
    <w:rsid w:val="00A264D9"/>
    <w:rsid w:val="00A2774D"/>
    <w:rsid w:val="00A27FB3"/>
    <w:rsid w:val="00A31BD6"/>
    <w:rsid w:val="00A31D85"/>
    <w:rsid w:val="00A31FE1"/>
    <w:rsid w:val="00A326E9"/>
    <w:rsid w:val="00A3298E"/>
    <w:rsid w:val="00A32C54"/>
    <w:rsid w:val="00A334FB"/>
    <w:rsid w:val="00A34DD3"/>
    <w:rsid w:val="00A35372"/>
    <w:rsid w:val="00A35D68"/>
    <w:rsid w:val="00A36AB4"/>
    <w:rsid w:val="00A37126"/>
    <w:rsid w:val="00A40187"/>
    <w:rsid w:val="00A4116E"/>
    <w:rsid w:val="00A41384"/>
    <w:rsid w:val="00A4225D"/>
    <w:rsid w:val="00A425F4"/>
    <w:rsid w:val="00A42D74"/>
    <w:rsid w:val="00A443DD"/>
    <w:rsid w:val="00A459DF"/>
    <w:rsid w:val="00A45AFA"/>
    <w:rsid w:val="00A46514"/>
    <w:rsid w:val="00A46FF8"/>
    <w:rsid w:val="00A475FE"/>
    <w:rsid w:val="00A47A46"/>
    <w:rsid w:val="00A47F8F"/>
    <w:rsid w:val="00A506CD"/>
    <w:rsid w:val="00A50EFC"/>
    <w:rsid w:val="00A515C1"/>
    <w:rsid w:val="00A5216C"/>
    <w:rsid w:val="00A544B2"/>
    <w:rsid w:val="00A54AA0"/>
    <w:rsid w:val="00A550EE"/>
    <w:rsid w:val="00A56F46"/>
    <w:rsid w:val="00A57032"/>
    <w:rsid w:val="00A605C6"/>
    <w:rsid w:val="00A61437"/>
    <w:rsid w:val="00A6253D"/>
    <w:rsid w:val="00A626D9"/>
    <w:rsid w:val="00A62AC5"/>
    <w:rsid w:val="00A62E45"/>
    <w:rsid w:val="00A62FAC"/>
    <w:rsid w:val="00A631CA"/>
    <w:rsid w:val="00A6341E"/>
    <w:rsid w:val="00A634EC"/>
    <w:rsid w:val="00A6435D"/>
    <w:rsid w:val="00A648EA"/>
    <w:rsid w:val="00A649F7"/>
    <w:rsid w:val="00A66C26"/>
    <w:rsid w:val="00A66FFA"/>
    <w:rsid w:val="00A67F4A"/>
    <w:rsid w:val="00A709B8"/>
    <w:rsid w:val="00A70D0B"/>
    <w:rsid w:val="00A71845"/>
    <w:rsid w:val="00A72A62"/>
    <w:rsid w:val="00A731D9"/>
    <w:rsid w:val="00A76D69"/>
    <w:rsid w:val="00A77322"/>
    <w:rsid w:val="00A7749E"/>
    <w:rsid w:val="00A8004A"/>
    <w:rsid w:val="00A804E8"/>
    <w:rsid w:val="00A80CF5"/>
    <w:rsid w:val="00A81263"/>
    <w:rsid w:val="00A81D2E"/>
    <w:rsid w:val="00A82ECC"/>
    <w:rsid w:val="00A8548A"/>
    <w:rsid w:val="00A86807"/>
    <w:rsid w:val="00A8705C"/>
    <w:rsid w:val="00A9033A"/>
    <w:rsid w:val="00A90C34"/>
    <w:rsid w:val="00A921C6"/>
    <w:rsid w:val="00A92777"/>
    <w:rsid w:val="00A92F16"/>
    <w:rsid w:val="00A92F22"/>
    <w:rsid w:val="00A9308E"/>
    <w:rsid w:val="00A93223"/>
    <w:rsid w:val="00A94AF0"/>
    <w:rsid w:val="00A96E93"/>
    <w:rsid w:val="00A975FE"/>
    <w:rsid w:val="00AA087C"/>
    <w:rsid w:val="00AA0D86"/>
    <w:rsid w:val="00AA0DF9"/>
    <w:rsid w:val="00AA1228"/>
    <w:rsid w:val="00AA1507"/>
    <w:rsid w:val="00AA1A76"/>
    <w:rsid w:val="00AA1C20"/>
    <w:rsid w:val="00AA1DB9"/>
    <w:rsid w:val="00AA25EE"/>
    <w:rsid w:val="00AA305A"/>
    <w:rsid w:val="00AA3DF1"/>
    <w:rsid w:val="00AA4EFE"/>
    <w:rsid w:val="00AA5218"/>
    <w:rsid w:val="00AA5F92"/>
    <w:rsid w:val="00AA68C7"/>
    <w:rsid w:val="00AB119E"/>
    <w:rsid w:val="00AB232A"/>
    <w:rsid w:val="00AB4C87"/>
    <w:rsid w:val="00AB64F9"/>
    <w:rsid w:val="00AB6B18"/>
    <w:rsid w:val="00AB6B87"/>
    <w:rsid w:val="00AB6E24"/>
    <w:rsid w:val="00AB7642"/>
    <w:rsid w:val="00AB7D2A"/>
    <w:rsid w:val="00AB7D98"/>
    <w:rsid w:val="00AC0078"/>
    <w:rsid w:val="00AC11E1"/>
    <w:rsid w:val="00AC1CCD"/>
    <w:rsid w:val="00AC1F24"/>
    <w:rsid w:val="00AC1F84"/>
    <w:rsid w:val="00AC285D"/>
    <w:rsid w:val="00AC2D9F"/>
    <w:rsid w:val="00AC3FC6"/>
    <w:rsid w:val="00AC4B03"/>
    <w:rsid w:val="00AC536B"/>
    <w:rsid w:val="00AC7081"/>
    <w:rsid w:val="00AD070E"/>
    <w:rsid w:val="00AD1710"/>
    <w:rsid w:val="00AD1F5B"/>
    <w:rsid w:val="00AD2965"/>
    <w:rsid w:val="00AD3055"/>
    <w:rsid w:val="00AD4C6D"/>
    <w:rsid w:val="00AD5E10"/>
    <w:rsid w:val="00AD6D25"/>
    <w:rsid w:val="00AE003D"/>
    <w:rsid w:val="00AE0D34"/>
    <w:rsid w:val="00AE2EDF"/>
    <w:rsid w:val="00AE33CE"/>
    <w:rsid w:val="00AE3849"/>
    <w:rsid w:val="00AE4C96"/>
    <w:rsid w:val="00AE4EAE"/>
    <w:rsid w:val="00AE5364"/>
    <w:rsid w:val="00AE6A85"/>
    <w:rsid w:val="00AE7F3E"/>
    <w:rsid w:val="00AF103C"/>
    <w:rsid w:val="00AF15B8"/>
    <w:rsid w:val="00AF1BA2"/>
    <w:rsid w:val="00AF218B"/>
    <w:rsid w:val="00AF3C27"/>
    <w:rsid w:val="00AF4A4F"/>
    <w:rsid w:val="00AF5763"/>
    <w:rsid w:val="00AF621E"/>
    <w:rsid w:val="00AF6D89"/>
    <w:rsid w:val="00AF713F"/>
    <w:rsid w:val="00B00227"/>
    <w:rsid w:val="00B00DF4"/>
    <w:rsid w:val="00B01031"/>
    <w:rsid w:val="00B01914"/>
    <w:rsid w:val="00B01F3A"/>
    <w:rsid w:val="00B0242C"/>
    <w:rsid w:val="00B026EB"/>
    <w:rsid w:val="00B04615"/>
    <w:rsid w:val="00B06F0C"/>
    <w:rsid w:val="00B06F44"/>
    <w:rsid w:val="00B0708C"/>
    <w:rsid w:val="00B10AE0"/>
    <w:rsid w:val="00B11096"/>
    <w:rsid w:val="00B12B10"/>
    <w:rsid w:val="00B1320A"/>
    <w:rsid w:val="00B13538"/>
    <w:rsid w:val="00B13728"/>
    <w:rsid w:val="00B13990"/>
    <w:rsid w:val="00B1414F"/>
    <w:rsid w:val="00B1476A"/>
    <w:rsid w:val="00B14925"/>
    <w:rsid w:val="00B14BBC"/>
    <w:rsid w:val="00B14FFB"/>
    <w:rsid w:val="00B15340"/>
    <w:rsid w:val="00B15A9B"/>
    <w:rsid w:val="00B16130"/>
    <w:rsid w:val="00B16134"/>
    <w:rsid w:val="00B167D9"/>
    <w:rsid w:val="00B17B88"/>
    <w:rsid w:val="00B17E17"/>
    <w:rsid w:val="00B25390"/>
    <w:rsid w:val="00B25A36"/>
    <w:rsid w:val="00B25F7D"/>
    <w:rsid w:val="00B26B03"/>
    <w:rsid w:val="00B273A8"/>
    <w:rsid w:val="00B302D5"/>
    <w:rsid w:val="00B30E79"/>
    <w:rsid w:val="00B317BC"/>
    <w:rsid w:val="00B325D7"/>
    <w:rsid w:val="00B326E9"/>
    <w:rsid w:val="00B32A8D"/>
    <w:rsid w:val="00B32C9D"/>
    <w:rsid w:val="00B32FD9"/>
    <w:rsid w:val="00B334BA"/>
    <w:rsid w:val="00B34C89"/>
    <w:rsid w:val="00B36247"/>
    <w:rsid w:val="00B36DE8"/>
    <w:rsid w:val="00B37B9B"/>
    <w:rsid w:val="00B37F0B"/>
    <w:rsid w:val="00B400E8"/>
    <w:rsid w:val="00B40852"/>
    <w:rsid w:val="00B40CF3"/>
    <w:rsid w:val="00B40D69"/>
    <w:rsid w:val="00B42863"/>
    <w:rsid w:val="00B43395"/>
    <w:rsid w:val="00B45C0D"/>
    <w:rsid w:val="00B469EA"/>
    <w:rsid w:val="00B46BF4"/>
    <w:rsid w:val="00B47288"/>
    <w:rsid w:val="00B47946"/>
    <w:rsid w:val="00B50520"/>
    <w:rsid w:val="00B51162"/>
    <w:rsid w:val="00B517EA"/>
    <w:rsid w:val="00B51B9C"/>
    <w:rsid w:val="00B5279C"/>
    <w:rsid w:val="00B53B27"/>
    <w:rsid w:val="00B541AB"/>
    <w:rsid w:val="00B54F22"/>
    <w:rsid w:val="00B56721"/>
    <w:rsid w:val="00B56C3C"/>
    <w:rsid w:val="00B60672"/>
    <w:rsid w:val="00B62F31"/>
    <w:rsid w:val="00B63C53"/>
    <w:rsid w:val="00B63C74"/>
    <w:rsid w:val="00B63F4C"/>
    <w:rsid w:val="00B64240"/>
    <w:rsid w:val="00B65542"/>
    <w:rsid w:val="00B66678"/>
    <w:rsid w:val="00B66C4F"/>
    <w:rsid w:val="00B67379"/>
    <w:rsid w:val="00B6795A"/>
    <w:rsid w:val="00B67C88"/>
    <w:rsid w:val="00B7006B"/>
    <w:rsid w:val="00B705CF"/>
    <w:rsid w:val="00B7171D"/>
    <w:rsid w:val="00B72BB7"/>
    <w:rsid w:val="00B74896"/>
    <w:rsid w:val="00B74B86"/>
    <w:rsid w:val="00B74E65"/>
    <w:rsid w:val="00B750F3"/>
    <w:rsid w:val="00B7560D"/>
    <w:rsid w:val="00B76118"/>
    <w:rsid w:val="00B76801"/>
    <w:rsid w:val="00B810EE"/>
    <w:rsid w:val="00B8156E"/>
    <w:rsid w:val="00B82869"/>
    <w:rsid w:val="00B82C36"/>
    <w:rsid w:val="00B83610"/>
    <w:rsid w:val="00B841F0"/>
    <w:rsid w:val="00B84DC6"/>
    <w:rsid w:val="00B85C52"/>
    <w:rsid w:val="00B860C3"/>
    <w:rsid w:val="00B86210"/>
    <w:rsid w:val="00B873CA"/>
    <w:rsid w:val="00B87C6C"/>
    <w:rsid w:val="00B87D60"/>
    <w:rsid w:val="00B87F7E"/>
    <w:rsid w:val="00B905C3"/>
    <w:rsid w:val="00B9134D"/>
    <w:rsid w:val="00B93917"/>
    <w:rsid w:val="00B94814"/>
    <w:rsid w:val="00B9655E"/>
    <w:rsid w:val="00B96BD9"/>
    <w:rsid w:val="00B96DFE"/>
    <w:rsid w:val="00B96EDB"/>
    <w:rsid w:val="00B978AE"/>
    <w:rsid w:val="00B979E3"/>
    <w:rsid w:val="00BA0484"/>
    <w:rsid w:val="00BA2309"/>
    <w:rsid w:val="00BA3F11"/>
    <w:rsid w:val="00BA3FB0"/>
    <w:rsid w:val="00BA4281"/>
    <w:rsid w:val="00BA4868"/>
    <w:rsid w:val="00BA4DB9"/>
    <w:rsid w:val="00BA5055"/>
    <w:rsid w:val="00BA5A5C"/>
    <w:rsid w:val="00BA5C45"/>
    <w:rsid w:val="00BB0150"/>
    <w:rsid w:val="00BB0FEB"/>
    <w:rsid w:val="00BB2173"/>
    <w:rsid w:val="00BB3438"/>
    <w:rsid w:val="00BB554C"/>
    <w:rsid w:val="00BB6B16"/>
    <w:rsid w:val="00BB6BC5"/>
    <w:rsid w:val="00BB6C8C"/>
    <w:rsid w:val="00BB6D8A"/>
    <w:rsid w:val="00BB6F0F"/>
    <w:rsid w:val="00BC0050"/>
    <w:rsid w:val="00BC01DD"/>
    <w:rsid w:val="00BC050B"/>
    <w:rsid w:val="00BC084C"/>
    <w:rsid w:val="00BC158A"/>
    <w:rsid w:val="00BC3DBA"/>
    <w:rsid w:val="00BC4FA1"/>
    <w:rsid w:val="00BC625B"/>
    <w:rsid w:val="00BC65E2"/>
    <w:rsid w:val="00BC7858"/>
    <w:rsid w:val="00BD012B"/>
    <w:rsid w:val="00BD078C"/>
    <w:rsid w:val="00BD0956"/>
    <w:rsid w:val="00BD1D56"/>
    <w:rsid w:val="00BD240C"/>
    <w:rsid w:val="00BD41FB"/>
    <w:rsid w:val="00BD4D2A"/>
    <w:rsid w:val="00BD4FAF"/>
    <w:rsid w:val="00BD6014"/>
    <w:rsid w:val="00BD6CBD"/>
    <w:rsid w:val="00BD7189"/>
    <w:rsid w:val="00BD7A2D"/>
    <w:rsid w:val="00BE04E4"/>
    <w:rsid w:val="00BE067A"/>
    <w:rsid w:val="00BE100E"/>
    <w:rsid w:val="00BE160C"/>
    <w:rsid w:val="00BE21BA"/>
    <w:rsid w:val="00BE33EA"/>
    <w:rsid w:val="00BE46DD"/>
    <w:rsid w:val="00BE6B45"/>
    <w:rsid w:val="00BE7706"/>
    <w:rsid w:val="00BF02C4"/>
    <w:rsid w:val="00BF1E6C"/>
    <w:rsid w:val="00BF526E"/>
    <w:rsid w:val="00BF58F2"/>
    <w:rsid w:val="00BF6A9F"/>
    <w:rsid w:val="00BF7C88"/>
    <w:rsid w:val="00C03CE7"/>
    <w:rsid w:val="00C03D27"/>
    <w:rsid w:val="00C0425C"/>
    <w:rsid w:val="00C04447"/>
    <w:rsid w:val="00C0446F"/>
    <w:rsid w:val="00C057F0"/>
    <w:rsid w:val="00C063F3"/>
    <w:rsid w:val="00C06AE8"/>
    <w:rsid w:val="00C06B95"/>
    <w:rsid w:val="00C07D9D"/>
    <w:rsid w:val="00C106BE"/>
    <w:rsid w:val="00C10EFB"/>
    <w:rsid w:val="00C114B6"/>
    <w:rsid w:val="00C11F17"/>
    <w:rsid w:val="00C12EEA"/>
    <w:rsid w:val="00C141A6"/>
    <w:rsid w:val="00C15AE8"/>
    <w:rsid w:val="00C17287"/>
    <w:rsid w:val="00C17783"/>
    <w:rsid w:val="00C17CE4"/>
    <w:rsid w:val="00C17E75"/>
    <w:rsid w:val="00C211B5"/>
    <w:rsid w:val="00C2120E"/>
    <w:rsid w:val="00C21478"/>
    <w:rsid w:val="00C2262C"/>
    <w:rsid w:val="00C22C5D"/>
    <w:rsid w:val="00C2457D"/>
    <w:rsid w:val="00C2485D"/>
    <w:rsid w:val="00C24BCA"/>
    <w:rsid w:val="00C25AD9"/>
    <w:rsid w:val="00C25DB4"/>
    <w:rsid w:val="00C25E03"/>
    <w:rsid w:val="00C26A11"/>
    <w:rsid w:val="00C26E38"/>
    <w:rsid w:val="00C2781C"/>
    <w:rsid w:val="00C27923"/>
    <w:rsid w:val="00C30AA1"/>
    <w:rsid w:val="00C33340"/>
    <w:rsid w:val="00C3776F"/>
    <w:rsid w:val="00C37BB4"/>
    <w:rsid w:val="00C37D7E"/>
    <w:rsid w:val="00C40896"/>
    <w:rsid w:val="00C408AC"/>
    <w:rsid w:val="00C40D8F"/>
    <w:rsid w:val="00C416D7"/>
    <w:rsid w:val="00C420FD"/>
    <w:rsid w:val="00C423D7"/>
    <w:rsid w:val="00C42658"/>
    <w:rsid w:val="00C43339"/>
    <w:rsid w:val="00C43925"/>
    <w:rsid w:val="00C43B4E"/>
    <w:rsid w:val="00C44889"/>
    <w:rsid w:val="00C4501B"/>
    <w:rsid w:val="00C45443"/>
    <w:rsid w:val="00C4592D"/>
    <w:rsid w:val="00C47C8A"/>
    <w:rsid w:val="00C52D9C"/>
    <w:rsid w:val="00C53BC3"/>
    <w:rsid w:val="00C54454"/>
    <w:rsid w:val="00C5448C"/>
    <w:rsid w:val="00C55364"/>
    <w:rsid w:val="00C5754D"/>
    <w:rsid w:val="00C57B7B"/>
    <w:rsid w:val="00C57C28"/>
    <w:rsid w:val="00C57FF7"/>
    <w:rsid w:val="00C60C82"/>
    <w:rsid w:val="00C6123B"/>
    <w:rsid w:val="00C62E31"/>
    <w:rsid w:val="00C64743"/>
    <w:rsid w:val="00C64B10"/>
    <w:rsid w:val="00C64EF4"/>
    <w:rsid w:val="00C65546"/>
    <w:rsid w:val="00C65694"/>
    <w:rsid w:val="00C65C22"/>
    <w:rsid w:val="00C67D82"/>
    <w:rsid w:val="00C7219B"/>
    <w:rsid w:val="00C73175"/>
    <w:rsid w:val="00C7402A"/>
    <w:rsid w:val="00C741D0"/>
    <w:rsid w:val="00C7508E"/>
    <w:rsid w:val="00C7765B"/>
    <w:rsid w:val="00C77D4D"/>
    <w:rsid w:val="00C80894"/>
    <w:rsid w:val="00C8164B"/>
    <w:rsid w:val="00C8213F"/>
    <w:rsid w:val="00C82722"/>
    <w:rsid w:val="00C830D2"/>
    <w:rsid w:val="00C8369B"/>
    <w:rsid w:val="00C8378B"/>
    <w:rsid w:val="00C83ADD"/>
    <w:rsid w:val="00C83E44"/>
    <w:rsid w:val="00C83F31"/>
    <w:rsid w:val="00C84C46"/>
    <w:rsid w:val="00C84FFA"/>
    <w:rsid w:val="00C85781"/>
    <w:rsid w:val="00C858FA"/>
    <w:rsid w:val="00C85B53"/>
    <w:rsid w:val="00C866B9"/>
    <w:rsid w:val="00C86F05"/>
    <w:rsid w:val="00C919D1"/>
    <w:rsid w:val="00C91B06"/>
    <w:rsid w:val="00C92167"/>
    <w:rsid w:val="00C935A7"/>
    <w:rsid w:val="00C93D10"/>
    <w:rsid w:val="00C9410B"/>
    <w:rsid w:val="00C957DB"/>
    <w:rsid w:val="00C95DC9"/>
    <w:rsid w:val="00C97128"/>
    <w:rsid w:val="00CA1989"/>
    <w:rsid w:val="00CA2714"/>
    <w:rsid w:val="00CA3865"/>
    <w:rsid w:val="00CA463E"/>
    <w:rsid w:val="00CA4A10"/>
    <w:rsid w:val="00CA520F"/>
    <w:rsid w:val="00CA613B"/>
    <w:rsid w:val="00CA6529"/>
    <w:rsid w:val="00CA6DBE"/>
    <w:rsid w:val="00CA7A19"/>
    <w:rsid w:val="00CB0CC8"/>
    <w:rsid w:val="00CB19AD"/>
    <w:rsid w:val="00CB2A60"/>
    <w:rsid w:val="00CB3738"/>
    <w:rsid w:val="00CB37FB"/>
    <w:rsid w:val="00CB5787"/>
    <w:rsid w:val="00CB67A3"/>
    <w:rsid w:val="00CB7948"/>
    <w:rsid w:val="00CC0AC9"/>
    <w:rsid w:val="00CC0E86"/>
    <w:rsid w:val="00CC2C52"/>
    <w:rsid w:val="00CC31F7"/>
    <w:rsid w:val="00CC36C9"/>
    <w:rsid w:val="00CC386A"/>
    <w:rsid w:val="00CC5258"/>
    <w:rsid w:val="00CC5458"/>
    <w:rsid w:val="00CC559A"/>
    <w:rsid w:val="00CC67D0"/>
    <w:rsid w:val="00CC7535"/>
    <w:rsid w:val="00CC7868"/>
    <w:rsid w:val="00CC7C1F"/>
    <w:rsid w:val="00CD1539"/>
    <w:rsid w:val="00CD1B22"/>
    <w:rsid w:val="00CD23DB"/>
    <w:rsid w:val="00CD23F5"/>
    <w:rsid w:val="00CD25A4"/>
    <w:rsid w:val="00CD3724"/>
    <w:rsid w:val="00CD3B3E"/>
    <w:rsid w:val="00CD4305"/>
    <w:rsid w:val="00CD4727"/>
    <w:rsid w:val="00CD66CF"/>
    <w:rsid w:val="00CD68C0"/>
    <w:rsid w:val="00CD73B5"/>
    <w:rsid w:val="00CD7B7B"/>
    <w:rsid w:val="00CE08C0"/>
    <w:rsid w:val="00CE11A2"/>
    <w:rsid w:val="00CE62C7"/>
    <w:rsid w:val="00CE6DFC"/>
    <w:rsid w:val="00CE6FD3"/>
    <w:rsid w:val="00CE7327"/>
    <w:rsid w:val="00CE7BA8"/>
    <w:rsid w:val="00CE7E37"/>
    <w:rsid w:val="00CF0008"/>
    <w:rsid w:val="00CF0B29"/>
    <w:rsid w:val="00CF0CBF"/>
    <w:rsid w:val="00CF0D5A"/>
    <w:rsid w:val="00CF0F20"/>
    <w:rsid w:val="00CF1B51"/>
    <w:rsid w:val="00CF3A46"/>
    <w:rsid w:val="00CF6520"/>
    <w:rsid w:val="00CF76EC"/>
    <w:rsid w:val="00D007EC"/>
    <w:rsid w:val="00D0154F"/>
    <w:rsid w:val="00D0244A"/>
    <w:rsid w:val="00D0273F"/>
    <w:rsid w:val="00D02790"/>
    <w:rsid w:val="00D02A24"/>
    <w:rsid w:val="00D03807"/>
    <w:rsid w:val="00D0546D"/>
    <w:rsid w:val="00D065F2"/>
    <w:rsid w:val="00D06C59"/>
    <w:rsid w:val="00D1026B"/>
    <w:rsid w:val="00D10C48"/>
    <w:rsid w:val="00D1139A"/>
    <w:rsid w:val="00D11540"/>
    <w:rsid w:val="00D11A08"/>
    <w:rsid w:val="00D11F79"/>
    <w:rsid w:val="00D127FA"/>
    <w:rsid w:val="00D1494B"/>
    <w:rsid w:val="00D15469"/>
    <w:rsid w:val="00D1618A"/>
    <w:rsid w:val="00D16947"/>
    <w:rsid w:val="00D17190"/>
    <w:rsid w:val="00D17BC4"/>
    <w:rsid w:val="00D2117A"/>
    <w:rsid w:val="00D2299B"/>
    <w:rsid w:val="00D22DB4"/>
    <w:rsid w:val="00D23C39"/>
    <w:rsid w:val="00D245F6"/>
    <w:rsid w:val="00D24D90"/>
    <w:rsid w:val="00D27829"/>
    <w:rsid w:val="00D315BF"/>
    <w:rsid w:val="00D3258A"/>
    <w:rsid w:val="00D32D2D"/>
    <w:rsid w:val="00D33C89"/>
    <w:rsid w:val="00D348CB"/>
    <w:rsid w:val="00D35885"/>
    <w:rsid w:val="00D3717C"/>
    <w:rsid w:val="00D37C76"/>
    <w:rsid w:val="00D37E33"/>
    <w:rsid w:val="00D419EC"/>
    <w:rsid w:val="00D41A5C"/>
    <w:rsid w:val="00D42AD4"/>
    <w:rsid w:val="00D42CEE"/>
    <w:rsid w:val="00D434C8"/>
    <w:rsid w:val="00D43624"/>
    <w:rsid w:val="00D43919"/>
    <w:rsid w:val="00D463A9"/>
    <w:rsid w:val="00D46774"/>
    <w:rsid w:val="00D46F4B"/>
    <w:rsid w:val="00D47967"/>
    <w:rsid w:val="00D47B9D"/>
    <w:rsid w:val="00D5020A"/>
    <w:rsid w:val="00D50270"/>
    <w:rsid w:val="00D508B3"/>
    <w:rsid w:val="00D50F5B"/>
    <w:rsid w:val="00D52140"/>
    <w:rsid w:val="00D52A02"/>
    <w:rsid w:val="00D535D6"/>
    <w:rsid w:val="00D53F3F"/>
    <w:rsid w:val="00D55B7A"/>
    <w:rsid w:val="00D55C71"/>
    <w:rsid w:val="00D56260"/>
    <w:rsid w:val="00D603AC"/>
    <w:rsid w:val="00D60AC1"/>
    <w:rsid w:val="00D622FB"/>
    <w:rsid w:val="00D6230D"/>
    <w:rsid w:val="00D625DC"/>
    <w:rsid w:val="00D62AA9"/>
    <w:rsid w:val="00D62C5D"/>
    <w:rsid w:val="00D62F25"/>
    <w:rsid w:val="00D63FE4"/>
    <w:rsid w:val="00D640D0"/>
    <w:rsid w:val="00D652D6"/>
    <w:rsid w:val="00D6674E"/>
    <w:rsid w:val="00D716D0"/>
    <w:rsid w:val="00D72C94"/>
    <w:rsid w:val="00D730E0"/>
    <w:rsid w:val="00D733C7"/>
    <w:rsid w:val="00D73CBA"/>
    <w:rsid w:val="00D74229"/>
    <w:rsid w:val="00D7460B"/>
    <w:rsid w:val="00D7472D"/>
    <w:rsid w:val="00D74B78"/>
    <w:rsid w:val="00D74DFE"/>
    <w:rsid w:val="00D761AE"/>
    <w:rsid w:val="00D7658D"/>
    <w:rsid w:val="00D76E3C"/>
    <w:rsid w:val="00D77557"/>
    <w:rsid w:val="00D779E1"/>
    <w:rsid w:val="00D821F4"/>
    <w:rsid w:val="00D8285B"/>
    <w:rsid w:val="00D84340"/>
    <w:rsid w:val="00D846AD"/>
    <w:rsid w:val="00D8477F"/>
    <w:rsid w:val="00D85910"/>
    <w:rsid w:val="00D85936"/>
    <w:rsid w:val="00D8647B"/>
    <w:rsid w:val="00D86C3D"/>
    <w:rsid w:val="00D86DF6"/>
    <w:rsid w:val="00D913CC"/>
    <w:rsid w:val="00D91A31"/>
    <w:rsid w:val="00D934B0"/>
    <w:rsid w:val="00D934BF"/>
    <w:rsid w:val="00D93D99"/>
    <w:rsid w:val="00D93E3B"/>
    <w:rsid w:val="00D94481"/>
    <w:rsid w:val="00D960D1"/>
    <w:rsid w:val="00D96275"/>
    <w:rsid w:val="00D97218"/>
    <w:rsid w:val="00DA14F8"/>
    <w:rsid w:val="00DA230B"/>
    <w:rsid w:val="00DA2CBF"/>
    <w:rsid w:val="00DA3223"/>
    <w:rsid w:val="00DA388F"/>
    <w:rsid w:val="00DA3EB1"/>
    <w:rsid w:val="00DA3F42"/>
    <w:rsid w:val="00DA4D77"/>
    <w:rsid w:val="00DA5B28"/>
    <w:rsid w:val="00DB09A8"/>
    <w:rsid w:val="00DB114E"/>
    <w:rsid w:val="00DB200A"/>
    <w:rsid w:val="00DB2925"/>
    <w:rsid w:val="00DB2D39"/>
    <w:rsid w:val="00DB2D40"/>
    <w:rsid w:val="00DB2E93"/>
    <w:rsid w:val="00DB2E9E"/>
    <w:rsid w:val="00DB315B"/>
    <w:rsid w:val="00DB3912"/>
    <w:rsid w:val="00DB3DA9"/>
    <w:rsid w:val="00DB4454"/>
    <w:rsid w:val="00DB53A6"/>
    <w:rsid w:val="00DB5C55"/>
    <w:rsid w:val="00DB6705"/>
    <w:rsid w:val="00DB6D36"/>
    <w:rsid w:val="00DC2108"/>
    <w:rsid w:val="00DC2D61"/>
    <w:rsid w:val="00DC3421"/>
    <w:rsid w:val="00DC3560"/>
    <w:rsid w:val="00DC4DC6"/>
    <w:rsid w:val="00DC4EA0"/>
    <w:rsid w:val="00DC50A2"/>
    <w:rsid w:val="00DC5F37"/>
    <w:rsid w:val="00DC6839"/>
    <w:rsid w:val="00DD04AF"/>
    <w:rsid w:val="00DD0833"/>
    <w:rsid w:val="00DD2042"/>
    <w:rsid w:val="00DD215B"/>
    <w:rsid w:val="00DD3775"/>
    <w:rsid w:val="00DD4A91"/>
    <w:rsid w:val="00DD6770"/>
    <w:rsid w:val="00DD7492"/>
    <w:rsid w:val="00DD74D0"/>
    <w:rsid w:val="00DD7AD2"/>
    <w:rsid w:val="00DD7B00"/>
    <w:rsid w:val="00DE1D02"/>
    <w:rsid w:val="00DE2252"/>
    <w:rsid w:val="00DE2D6E"/>
    <w:rsid w:val="00DE3683"/>
    <w:rsid w:val="00DE3A7C"/>
    <w:rsid w:val="00DE3D68"/>
    <w:rsid w:val="00DE40A0"/>
    <w:rsid w:val="00DE41C7"/>
    <w:rsid w:val="00DE454B"/>
    <w:rsid w:val="00DE4630"/>
    <w:rsid w:val="00DE4C22"/>
    <w:rsid w:val="00DE4E64"/>
    <w:rsid w:val="00DE5A3A"/>
    <w:rsid w:val="00DE5F06"/>
    <w:rsid w:val="00DE7548"/>
    <w:rsid w:val="00DE7E7C"/>
    <w:rsid w:val="00DF054C"/>
    <w:rsid w:val="00DF05F3"/>
    <w:rsid w:val="00DF2C37"/>
    <w:rsid w:val="00DF3BA6"/>
    <w:rsid w:val="00DF4661"/>
    <w:rsid w:val="00DF5A5B"/>
    <w:rsid w:val="00DF6425"/>
    <w:rsid w:val="00E00BDB"/>
    <w:rsid w:val="00E010B0"/>
    <w:rsid w:val="00E01303"/>
    <w:rsid w:val="00E01B94"/>
    <w:rsid w:val="00E02A4C"/>
    <w:rsid w:val="00E03DC8"/>
    <w:rsid w:val="00E04FC7"/>
    <w:rsid w:val="00E05803"/>
    <w:rsid w:val="00E062CC"/>
    <w:rsid w:val="00E06BD4"/>
    <w:rsid w:val="00E0792F"/>
    <w:rsid w:val="00E10254"/>
    <w:rsid w:val="00E10F28"/>
    <w:rsid w:val="00E1145D"/>
    <w:rsid w:val="00E11F84"/>
    <w:rsid w:val="00E1242D"/>
    <w:rsid w:val="00E12F26"/>
    <w:rsid w:val="00E15599"/>
    <w:rsid w:val="00E16C0F"/>
    <w:rsid w:val="00E17DBE"/>
    <w:rsid w:val="00E207A5"/>
    <w:rsid w:val="00E20D9F"/>
    <w:rsid w:val="00E2120E"/>
    <w:rsid w:val="00E214E9"/>
    <w:rsid w:val="00E225DB"/>
    <w:rsid w:val="00E22C03"/>
    <w:rsid w:val="00E239C5"/>
    <w:rsid w:val="00E23A29"/>
    <w:rsid w:val="00E23B5D"/>
    <w:rsid w:val="00E23E88"/>
    <w:rsid w:val="00E2444B"/>
    <w:rsid w:val="00E2563C"/>
    <w:rsid w:val="00E26723"/>
    <w:rsid w:val="00E3050D"/>
    <w:rsid w:val="00E334C4"/>
    <w:rsid w:val="00E3355E"/>
    <w:rsid w:val="00E34EB0"/>
    <w:rsid w:val="00E354B6"/>
    <w:rsid w:val="00E36520"/>
    <w:rsid w:val="00E3688B"/>
    <w:rsid w:val="00E36E25"/>
    <w:rsid w:val="00E36EE8"/>
    <w:rsid w:val="00E370B1"/>
    <w:rsid w:val="00E40C55"/>
    <w:rsid w:val="00E4135E"/>
    <w:rsid w:val="00E42C08"/>
    <w:rsid w:val="00E4399F"/>
    <w:rsid w:val="00E44B78"/>
    <w:rsid w:val="00E45192"/>
    <w:rsid w:val="00E4592C"/>
    <w:rsid w:val="00E45B6B"/>
    <w:rsid w:val="00E45C1F"/>
    <w:rsid w:val="00E45C5C"/>
    <w:rsid w:val="00E45F60"/>
    <w:rsid w:val="00E50284"/>
    <w:rsid w:val="00E50AD1"/>
    <w:rsid w:val="00E50B69"/>
    <w:rsid w:val="00E51B84"/>
    <w:rsid w:val="00E528DF"/>
    <w:rsid w:val="00E52AA2"/>
    <w:rsid w:val="00E54F23"/>
    <w:rsid w:val="00E56899"/>
    <w:rsid w:val="00E57AF6"/>
    <w:rsid w:val="00E61A47"/>
    <w:rsid w:val="00E62567"/>
    <w:rsid w:val="00E62B1C"/>
    <w:rsid w:val="00E6310C"/>
    <w:rsid w:val="00E63A26"/>
    <w:rsid w:val="00E63FB0"/>
    <w:rsid w:val="00E641E9"/>
    <w:rsid w:val="00E6421E"/>
    <w:rsid w:val="00E65D90"/>
    <w:rsid w:val="00E67E03"/>
    <w:rsid w:val="00E7010E"/>
    <w:rsid w:val="00E70EE3"/>
    <w:rsid w:val="00E718A6"/>
    <w:rsid w:val="00E72038"/>
    <w:rsid w:val="00E7400E"/>
    <w:rsid w:val="00E753F1"/>
    <w:rsid w:val="00E773BC"/>
    <w:rsid w:val="00E773D5"/>
    <w:rsid w:val="00E774D9"/>
    <w:rsid w:val="00E804AE"/>
    <w:rsid w:val="00E806DF"/>
    <w:rsid w:val="00E80819"/>
    <w:rsid w:val="00E80926"/>
    <w:rsid w:val="00E80FCE"/>
    <w:rsid w:val="00E81CA6"/>
    <w:rsid w:val="00E82230"/>
    <w:rsid w:val="00E85CE8"/>
    <w:rsid w:val="00E862A1"/>
    <w:rsid w:val="00E86414"/>
    <w:rsid w:val="00E87581"/>
    <w:rsid w:val="00E90936"/>
    <w:rsid w:val="00E90CB0"/>
    <w:rsid w:val="00E9105F"/>
    <w:rsid w:val="00E91821"/>
    <w:rsid w:val="00E925EB"/>
    <w:rsid w:val="00E92E33"/>
    <w:rsid w:val="00E93561"/>
    <w:rsid w:val="00E93DE3"/>
    <w:rsid w:val="00E9407D"/>
    <w:rsid w:val="00E94085"/>
    <w:rsid w:val="00E9476B"/>
    <w:rsid w:val="00E94AE1"/>
    <w:rsid w:val="00E959D7"/>
    <w:rsid w:val="00E95D40"/>
    <w:rsid w:val="00E95EC3"/>
    <w:rsid w:val="00E963D7"/>
    <w:rsid w:val="00E964E8"/>
    <w:rsid w:val="00E968FF"/>
    <w:rsid w:val="00E97DC2"/>
    <w:rsid w:val="00EA0A4D"/>
    <w:rsid w:val="00EA0D73"/>
    <w:rsid w:val="00EA1270"/>
    <w:rsid w:val="00EA12F4"/>
    <w:rsid w:val="00EA16B9"/>
    <w:rsid w:val="00EA276A"/>
    <w:rsid w:val="00EA405E"/>
    <w:rsid w:val="00EA4EFF"/>
    <w:rsid w:val="00EA51B7"/>
    <w:rsid w:val="00EA541A"/>
    <w:rsid w:val="00EA5F81"/>
    <w:rsid w:val="00EA5FC5"/>
    <w:rsid w:val="00EA74DF"/>
    <w:rsid w:val="00EA76AB"/>
    <w:rsid w:val="00EA78BC"/>
    <w:rsid w:val="00EA7F3C"/>
    <w:rsid w:val="00EB03AC"/>
    <w:rsid w:val="00EB0C96"/>
    <w:rsid w:val="00EB36D4"/>
    <w:rsid w:val="00EB386F"/>
    <w:rsid w:val="00EB40F1"/>
    <w:rsid w:val="00EB445B"/>
    <w:rsid w:val="00EB5A8E"/>
    <w:rsid w:val="00EB709A"/>
    <w:rsid w:val="00EB78FB"/>
    <w:rsid w:val="00EC15AB"/>
    <w:rsid w:val="00EC28F2"/>
    <w:rsid w:val="00EC2C39"/>
    <w:rsid w:val="00EC3881"/>
    <w:rsid w:val="00EC55FD"/>
    <w:rsid w:val="00EC63AD"/>
    <w:rsid w:val="00EC6946"/>
    <w:rsid w:val="00EC6FD3"/>
    <w:rsid w:val="00ED03B8"/>
    <w:rsid w:val="00ED0476"/>
    <w:rsid w:val="00ED1673"/>
    <w:rsid w:val="00ED17D9"/>
    <w:rsid w:val="00ED25DD"/>
    <w:rsid w:val="00ED3648"/>
    <w:rsid w:val="00ED70D2"/>
    <w:rsid w:val="00ED750D"/>
    <w:rsid w:val="00ED7D43"/>
    <w:rsid w:val="00EE14B3"/>
    <w:rsid w:val="00EE19B4"/>
    <w:rsid w:val="00EE2AA3"/>
    <w:rsid w:val="00EE2CAC"/>
    <w:rsid w:val="00EE2F55"/>
    <w:rsid w:val="00EE3722"/>
    <w:rsid w:val="00EE3BEC"/>
    <w:rsid w:val="00EE4A8A"/>
    <w:rsid w:val="00EE4B80"/>
    <w:rsid w:val="00EE4E75"/>
    <w:rsid w:val="00EE55FE"/>
    <w:rsid w:val="00EF15CC"/>
    <w:rsid w:val="00EF1908"/>
    <w:rsid w:val="00EF1CF1"/>
    <w:rsid w:val="00EF3B93"/>
    <w:rsid w:val="00EF44D4"/>
    <w:rsid w:val="00EF5CC7"/>
    <w:rsid w:val="00F00E87"/>
    <w:rsid w:val="00F0186C"/>
    <w:rsid w:val="00F02634"/>
    <w:rsid w:val="00F02B5B"/>
    <w:rsid w:val="00F03057"/>
    <w:rsid w:val="00F03402"/>
    <w:rsid w:val="00F03CCC"/>
    <w:rsid w:val="00F06A82"/>
    <w:rsid w:val="00F06C8A"/>
    <w:rsid w:val="00F10696"/>
    <w:rsid w:val="00F124D8"/>
    <w:rsid w:val="00F1288D"/>
    <w:rsid w:val="00F1336A"/>
    <w:rsid w:val="00F136BA"/>
    <w:rsid w:val="00F13D00"/>
    <w:rsid w:val="00F140FA"/>
    <w:rsid w:val="00F143D3"/>
    <w:rsid w:val="00F15165"/>
    <w:rsid w:val="00F15DC6"/>
    <w:rsid w:val="00F169A9"/>
    <w:rsid w:val="00F174BD"/>
    <w:rsid w:val="00F22EAA"/>
    <w:rsid w:val="00F2393E"/>
    <w:rsid w:val="00F23DCC"/>
    <w:rsid w:val="00F26DC7"/>
    <w:rsid w:val="00F2745D"/>
    <w:rsid w:val="00F30286"/>
    <w:rsid w:val="00F31B4E"/>
    <w:rsid w:val="00F3226A"/>
    <w:rsid w:val="00F32A38"/>
    <w:rsid w:val="00F343F1"/>
    <w:rsid w:val="00F347B8"/>
    <w:rsid w:val="00F34F90"/>
    <w:rsid w:val="00F36A81"/>
    <w:rsid w:val="00F37CD0"/>
    <w:rsid w:val="00F4000F"/>
    <w:rsid w:val="00F40557"/>
    <w:rsid w:val="00F40872"/>
    <w:rsid w:val="00F41A90"/>
    <w:rsid w:val="00F42223"/>
    <w:rsid w:val="00F429D1"/>
    <w:rsid w:val="00F43630"/>
    <w:rsid w:val="00F43855"/>
    <w:rsid w:val="00F4385B"/>
    <w:rsid w:val="00F4449C"/>
    <w:rsid w:val="00F45119"/>
    <w:rsid w:val="00F45BEB"/>
    <w:rsid w:val="00F504A5"/>
    <w:rsid w:val="00F504BF"/>
    <w:rsid w:val="00F52758"/>
    <w:rsid w:val="00F52921"/>
    <w:rsid w:val="00F52D8F"/>
    <w:rsid w:val="00F53BC6"/>
    <w:rsid w:val="00F53C7C"/>
    <w:rsid w:val="00F54703"/>
    <w:rsid w:val="00F563BE"/>
    <w:rsid w:val="00F565B7"/>
    <w:rsid w:val="00F56D0D"/>
    <w:rsid w:val="00F574EA"/>
    <w:rsid w:val="00F61341"/>
    <w:rsid w:val="00F61A69"/>
    <w:rsid w:val="00F61B8C"/>
    <w:rsid w:val="00F6396C"/>
    <w:rsid w:val="00F6412B"/>
    <w:rsid w:val="00F641C9"/>
    <w:rsid w:val="00F654EA"/>
    <w:rsid w:val="00F65E2F"/>
    <w:rsid w:val="00F66142"/>
    <w:rsid w:val="00F6790E"/>
    <w:rsid w:val="00F70563"/>
    <w:rsid w:val="00F72242"/>
    <w:rsid w:val="00F72FE1"/>
    <w:rsid w:val="00F73141"/>
    <w:rsid w:val="00F746CB"/>
    <w:rsid w:val="00F760F9"/>
    <w:rsid w:val="00F77466"/>
    <w:rsid w:val="00F81832"/>
    <w:rsid w:val="00F82AB3"/>
    <w:rsid w:val="00F838F1"/>
    <w:rsid w:val="00F83FC2"/>
    <w:rsid w:val="00F8499B"/>
    <w:rsid w:val="00F85AA5"/>
    <w:rsid w:val="00F85B0C"/>
    <w:rsid w:val="00F85DEB"/>
    <w:rsid w:val="00F86356"/>
    <w:rsid w:val="00F8757B"/>
    <w:rsid w:val="00F9007F"/>
    <w:rsid w:val="00F902AE"/>
    <w:rsid w:val="00F91063"/>
    <w:rsid w:val="00F922A8"/>
    <w:rsid w:val="00F92C50"/>
    <w:rsid w:val="00F94097"/>
    <w:rsid w:val="00F960C0"/>
    <w:rsid w:val="00F96964"/>
    <w:rsid w:val="00F97CD5"/>
    <w:rsid w:val="00FA022A"/>
    <w:rsid w:val="00FA0C18"/>
    <w:rsid w:val="00FA0C8A"/>
    <w:rsid w:val="00FA13A6"/>
    <w:rsid w:val="00FA2985"/>
    <w:rsid w:val="00FA4987"/>
    <w:rsid w:val="00FA4B9B"/>
    <w:rsid w:val="00FA51D9"/>
    <w:rsid w:val="00FA598F"/>
    <w:rsid w:val="00FA636C"/>
    <w:rsid w:val="00FA715D"/>
    <w:rsid w:val="00FB04B7"/>
    <w:rsid w:val="00FB1D0E"/>
    <w:rsid w:val="00FB4356"/>
    <w:rsid w:val="00FB5E5A"/>
    <w:rsid w:val="00FB6832"/>
    <w:rsid w:val="00FB691E"/>
    <w:rsid w:val="00FB6E35"/>
    <w:rsid w:val="00FC0141"/>
    <w:rsid w:val="00FC0178"/>
    <w:rsid w:val="00FC067A"/>
    <w:rsid w:val="00FC135F"/>
    <w:rsid w:val="00FC19DB"/>
    <w:rsid w:val="00FC2BA7"/>
    <w:rsid w:val="00FC30B5"/>
    <w:rsid w:val="00FD06D0"/>
    <w:rsid w:val="00FD0D26"/>
    <w:rsid w:val="00FD1C00"/>
    <w:rsid w:val="00FD2245"/>
    <w:rsid w:val="00FD2395"/>
    <w:rsid w:val="00FD2CCD"/>
    <w:rsid w:val="00FD4136"/>
    <w:rsid w:val="00FD4276"/>
    <w:rsid w:val="00FD4B42"/>
    <w:rsid w:val="00FD4BBA"/>
    <w:rsid w:val="00FD6CDF"/>
    <w:rsid w:val="00FD7AFF"/>
    <w:rsid w:val="00FE145E"/>
    <w:rsid w:val="00FE1516"/>
    <w:rsid w:val="00FE1B10"/>
    <w:rsid w:val="00FE278D"/>
    <w:rsid w:val="00FE3560"/>
    <w:rsid w:val="00FE41BD"/>
    <w:rsid w:val="00FE47A9"/>
    <w:rsid w:val="00FE5162"/>
    <w:rsid w:val="00FE56A4"/>
    <w:rsid w:val="00FE59C3"/>
    <w:rsid w:val="00FF076F"/>
    <w:rsid w:val="00FF0D3D"/>
    <w:rsid w:val="00FF35BB"/>
    <w:rsid w:val="00FF3F54"/>
    <w:rsid w:val="00FF3FC9"/>
    <w:rsid w:val="00FF4B9C"/>
    <w:rsid w:val="00FF66FC"/>
    <w:rsid w:val="00FF6A88"/>
    <w:rsid w:val="00FF7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colormru v:ext="edit" colors="#bcd8d3"/>
    </o:shapedefaults>
    <o:shapelayout v:ext="edit">
      <o:idmap v:ext="edit" data="1"/>
    </o:shapelayout>
  </w:shapeDefaults>
  <w:decimalSymbol w:val="."/>
  <w:listSeparator w:val=","/>
  <w14:docId w14:val="59A26F75"/>
  <w15:docId w15:val="{2466B763-24A9-4845-9938-3531A1DB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0AA"/>
    <w:pPr>
      <w:spacing w:line="260" w:lineRule="atLeast"/>
    </w:pPr>
    <w:rPr>
      <w:rFonts w:ascii="Arial" w:hAnsi="Arial" w:cs="Arial"/>
      <w:sz w:val="22"/>
      <w:lang w:val="en-GB"/>
    </w:rPr>
  </w:style>
  <w:style w:type="paragraph" w:styleId="Heading1">
    <w:name w:val="heading 1"/>
    <w:basedOn w:val="Normal"/>
    <w:next w:val="Normal"/>
    <w:link w:val="Heading1Char"/>
    <w:qFormat/>
    <w:rsid w:val="00692973"/>
    <w:pPr>
      <w:keepNext/>
      <w:numPr>
        <w:numId w:val="9"/>
      </w:numPr>
      <w:spacing w:line="400" w:lineRule="atLeast"/>
      <w:outlineLvl w:val="0"/>
    </w:pPr>
    <w:rPr>
      <w:color w:val="002C77"/>
      <w:sz w:val="36"/>
    </w:rPr>
  </w:style>
  <w:style w:type="paragraph" w:styleId="Heading2">
    <w:name w:val="heading 2"/>
    <w:basedOn w:val="Normal"/>
    <w:next w:val="Normal"/>
    <w:link w:val="Heading2Char"/>
    <w:qFormat/>
    <w:rsid w:val="00C57C28"/>
    <w:pPr>
      <w:keepNext/>
      <w:spacing w:line="320" w:lineRule="atLeast"/>
      <w:outlineLvl w:val="1"/>
    </w:pPr>
    <w:rPr>
      <w:b/>
      <w:sz w:val="28"/>
    </w:rPr>
  </w:style>
  <w:style w:type="paragraph" w:styleId="Heading3">
    <w:name w:val="heading 3"/>
    <w:basedOn w:val="Normal"/>
    <w:next w:val="Normal"/>
    <w:qFormat/>
    <w:rsid w:val="00C57C28"/>
    <w:pPr>
      <w:keepNext/>
      <w:spacing w:line="320" w:lineRule="atLeast"/>
      <w:outlineLvl w:val="2"/>
    </w:pPr>
    <w:rPr>
      <w:b/>
      <w:i/>
      <w:sz w:val="28"/>
    </w:rPr>
  </w:style>
  <w:style w:type="paragraph" w:styleId="Heading4">
    <w:name w:val="heading 4"/>
    <w:basedOn w:val="Normal"/>
    <w:next w:val="Normal"/>
    <w:qFormat/>
    <w:rsid w:val="00692973"/>
    <w:pPr>
      <w:keepNext/>
      <w:numPr>
        <w:ilvl w:val="3"/>
        <w:numId w:val="9"/>
      </w:numPr>
      <w:spacing w:line="320" w:lineRule="atLeast"/>
      <w:outlineLvl w:val="3"/>
    </w:pPr>
    <w:rPr>
      <w:i/>
      <w:sz w:val="28"/>
    </w:rPr>
  </w:style>
  <w:style w:type="paragraph" w:styleId="Heading5">
    <w:name w:val="heading 5"/>
    <w:basedOn w:val="Normal"/>
    <w:next w:val="Normal"/>
    <w:qFormat/>
    <w:rsid w:val="00692973"/>
    <w:pPr>
      <w:keepNext/>
      <w:numPr>
        <w:ilvl w:val="4"/>
        <w:numId w:val="9"/>
      </w:num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pPr>
      <w:spacing w:line="200" w:lineRule="atLeast"/>
    </w:pPr>
    <w:rPr>
      <w:rFonts w:ascii="Arial" w:hAnsi="Arial" w:cs="Arial"/>
      <w:sz w:val="16"/>
    </w:rPr>
  </w:style>
  <w:style w:type="paragraph" w:customStyle="1" w:styleId="Legalcopy">
    <w:name w:val="Legal copy"/>
    <w:basedOn w:val="Base"/>
    <w:rsid w:val="007D6566"/>
    <w:pPr>
      <w:framePr w:hSpace="187" w:vSpace="187" w:wrap="around" w:hAnchor="text" w:yAlign="bottom"/>
      <w:spacing w:before="40" w:line="140" w:lineRule="atLeast"/>
    </w:pPr>
    <w:rPr>
      <w:sz w:val="12"/>
    </w:rPr>
  </w:style>
  <w:style w:type="character" w:styleId="PageNumber">
    <w:name w:val="page number"/>
    <w:rsid w:val="00C73175"/>
    <w:rPr>
      <w:rFonts w:ascii="Arial" w:hAnsi="Arial" w:cs="Arial"/>
      <w:b w:val="0"/>
      <w:i w:val="0"/>
      <w:caps w:val="0"/>
      <w:smallCaps w:val="0"/>
      <w:vanish w:val="0"/>
      <w:sz w:val="20"/>
      <w:u w:val="none"/>
    </w:rPr>
  </w:style>
  <w:style w:type="paragraph" w:customStyle="1" w:styleId="Filestamp">
    <w:name w:val="Filestamp"/>
    <w:basedOn w:val="Base"/>
    <w:rsid w:val="00825EA2"/>
    <w:pPr>
      <w:spacing w:line="120" w:lineRule="atLeast"/>
    </w:pPr>
    <w:rPr>
      <w:noProof/>
      <w:sz w:val="12"/>
    </w:rPr>
  </w:style>
  <w:style w:type="paragraph" w:styleId="FootnoteText">
    <w:name w:val="footnote text"/>
    <w:aliases w:val="Footnote Text Char1 Char,Footnote Text Char Char Char,Char1 Char Char Char,Char1"/>
    <w:basedOn w:val="Normal"/>
    <w:link w:val="FootnoteTextChar"/>
    <w:semiHidden/>
    <w:pPr>
      <w:spacing w:after="120"/>
    </w:pPr>
    <w:rPr>
      <w:sz w:val="18"/>
    </w:rPr>
  </w:style>
  <w:style w:type="paragraph" w:customStyle="1" w:styleId="LetterDate">
    <w:name w:val="Letter Date"/>
    <w:basedOn w:val="Base"/>
    <w:next w:val="Normal"/>
    <w:rsid w:val="00967E80"/>
    <w:pPr>
      <w:spacing w:after="680" w:line="360" w:lineRule="atLeast"/>
    </w:pPr>
    <w:rPr>
      <w:caps/>
      <w:sz w:val="28"/>
    </w:rPr>
  </w:style>
  <w:style w:type="paragraph" w:customStyle="1" w:styleId="TableLogoText">
    <w:name w:val="Table Logo Text"/>
    <w:basedOn w:val="Base"/>
    <w:pPr>
      <w:spacing w:line="240" w:lineRule="auto"/>
    </w:pPr>
    <w:rPr>
      <w:sz w:val="24"/>
    </w:rPr>
  </w:style>
  <w:style w:type="paragraph" w:customStyle="1" w:styleId="ReportTitle">
    <w:name w:val="Report Title"/>
    <w:basedOn w:val="Base"/>
    <w:next w:val="Normal"/>
    <w:rsid w:val="00685334"/>
    <w:pPr>
      <w:spacing w:before="300" w:line="440" w:lineRule="atLeast"/>
    </w:pPr>
    <w:rPr>
      <w:b/>
      <w:caps/>
      <w:sz w:val="44"/>
    </w:rPr>
  </w:style>
  <w:style w:type="paragraph" w:customStyle="1" w:styleId="ClientName">
    <w:name w:val="Client Name"/>
    <w:basedOn w:val="Base"/>
    <w:rsid w:val="00685334"/>
    <w:pPr>
      <w:spacing w:line="440" w:lineRule="atLeast"/>
    </w:pPr>
    <w:rPr>
      <w:caps/>
      <w:sz w:val="44"/>
    </w:rPr>
  </w:style>
  <w:style w:type="paragraph" w:customStyle="1" w:styleId="ReportCrossRef">
    <w:name w:val="Report Cross Ref"/>
    <w:basedOn w:val="Base"/>
    <w:rsid w:val="00A06CBA"/>
    <w:rPr>
      <w:b/>
      <w:caps/>
    </w:rPr>
  </w:style>
  <w:style w:type="paragraph" w:customStyle="1" w:styleId="ClientNameCrossRef">
    <w:name w:val="Client Name Cross Ref"/>
    <w:basedOn w:val="Base"/>
    <w:rsid w:val="000C6910"/>
    <w:rPr>
      <w:caps/>
    </w:rPr>
  </w:style>
  <w:style w:type="paragraph" w:styleId="TOC1">
    <w:name w:val="toc 1"/>
    <w:basedOn w:val="Normal"/>
    <w:next w:val="Normal"/>
    <w:uiPriority w:val="39"/>
    <w:rsid w:val="00EC15AB"/>
    <w:pPr>
      <w:numPr>
        <w:numId w:val="2"/>
      </w:numPr>
      <w:tabs>
        <w:tab w:val="left" w:pos="432"/>
        <w:tab w:val="right" w:leader="dot" w:pos="8640"/>
      </w:tabs>
      <w:spacing w:before="300" w:line="300" w:lineRule="exact"/>
    </w:pPr>
    <w:rPr>
      <w:noProof/>
    </w:rPr>
  </w:style>
  <w:style w:type="paragraph" w:styleId="TOC2">
    <w:name w:val="toc 2"/>
    <w:basedOn w:val="Normal"/>
    <w:next w:val="Normal"/>
    <w:uiPriority w:val="39"/>
    <w:rsid w:val="007F57BC"/>
    <w:pPr>
      <w:numPr>
        <w:numId w:val="3"/>
      </w:numPr>
      <w:tabs>
        <w:tab w:val="left" w:pos="720"/>
        <w:tab w:val="right" w:leader="dot" w:pos="8640"/>
      </w:tabs>
      <w:spacing w:line="300" w:lineRule="exact"/>
    </w:pPr>
    <w:rPr>
      <w:noProof/>
    </w:rPr>
  </w:style>
  <w:style w:type="paragraph" w:customStyle="1" w:styleId="SectionIntro">
    <w:name w:val="Section Intro"/>
    <w:basedOn w:val="Normal"/>
    <w:pPr>
      <w:spacing w:line="240" w:lineRule="auto"/>
    </w:pPr>
    <w:rPr>
      <w:sz w:val="28"/>
    </w:rPr>
  </w:style>
  <w:style w:type="paragraph" w:customStyle="1" w:styleId="AppendixStart">
    <w:name w:val="Appendix Start"/>
    <w:basedOn w:val="Normal"/>
    <w:next w:val="AppendixHeading1"/>
    <w:rsid w:val="00751992"/>
    <w:pPr>
      <w:keepNext/>
      <w:pageBreakBefore/>
      <w:numPr>
        <w:numId w:val="4"/>
      </w:numPr>
      <w:pBdr>
        <w:bottom w:val="single" w:sz="12" w:space="0" w:color="00A8C8"/>
      </w:pBdr>
      <w:spacing w:after="360" w:line="240" w:lineRule="auto"/>
    </w:pPr>
    <w:rPr>
      <w:caps/>
      <w:color w:val="00A8C8"/>
      <w:sz w:val="48"/>
    </w:rPr>
  </w:style>
  <w:style w:type="paragraph" w:styleId="NoteHeading">
    <w:name w:val="Note Heading"/>
    <w:basedOn w:val="Normal"/>
    <w:next w:val="NoteText"/>
    <w:rsid w:val="0085297B"/>
    <w:pPr>
      <w:spacing w:before="200" w:line="200" w:lineRule="atLeast"/>
    </w:pPr>
    <w:rPr>
      <w:caps/>
      <w:sz w:val="18"/>
    </w:rPr>
  </w:style>
  <w:style w:type="paragraph" w:customStyle="1" w:styleId="NoteText">
    <w:name w:val="Note Text"/>
    <w:basedOn w:val="Normal"/>
    <w:pPr>
      <w:spacing w:line="200" w:lineRule="atLeast"/>
    </w:pPr>
    <w:rPr>
      <w:sz w:val="18"/>
    </w:rPr>
  </w:style>
  <w:style w:type="character" w:styleId="FootnoteReference">
    <w:name w:val="footnote reference"/>
    <w:uiPriority w:val="99"/>
    <w:rPr>
      <w:vertAlign w:val="superscript"/>
    </w:rPr>
  </w:style>
  <w:style w:type="paragraph" w:customStyle="1" w:styleId="SectionStart">
    <w:name w:val="Section Start"/>
    <w:basedOn w:val="Normal"/>
    <w:next w:val="Heading1"/>
    <w:rsid w:val="00751992"/>
    <w:pPr>
      <w:keepNext/>
      <w:pageBreakBefore/>
      <w:numPr>
        <w:numId w:val="1"/>
      </w:numPr>
      <w:pBdr>
        <w:bottom w:val="single" w:sz="12" w:space="1" w:color="00A8C8"/>
      </w:pBdr>
      <w:tabs>
        <w:tab w:val="num" w:pos="1702"/>
      </w:tabs>
      <w:spacing w:after="380" w:line="240" w:lineRule="auto"/>
      <w:ind w:left="1702"/>
    </w:pPr>
    <w:rPr>
      <w:color w:val="00A8C8"/>
      <w:sz w:val="72"/>
    </w:rPr>
  </w:style>
  <w:style w:type="paragraph" w:customStyle="1" w:styleId="AddressBlock">
    <w:name w:val="Address Block"/>
    <w:basedOn w:val="Base"/>
    <w:rsid w:val="00482AD1"/>
    <w:pPr>
      <w:spacing w:line="180" w:lineRule="atLeast"/>
    </w:pPr>
  </w:style>
  <w:style w:type="paragraph" w:styleId="TOCHeading">
    <w:name w:val="TOC Heading"/>
    <w:basedOn w:val="Base"/>
    <w:qFormat/>
    <w:rsid w:val="0072270C"/>
    <w:pPr>
      <w:spacing w:line="360" w:lineRule="atLeast"/>
    </w:pPr>
    <w:rPr>
      <w:caps/>
      <w:color w:val="002C77"/>
      <w:sz w:val="36"/>
    </w:rPr>
  </w:style>
  <w:style w:type="paragraph" w:styleId="TOC3">
    <w:name w:val="toc 3"/>
    <w:basedOn w:val="Normal"/>
    <w:next w:val="Normal"/>
    <w:rsid w:val="007F57BC"/>
    <w:pPr>
      <w:numPr>
        <w:numId w:val="6"/>
      </w:numPr>
      <w:tabs>
        <w:tab w:val="left" w:pos="864"/>
        <w:tab w:val="left" w:pos="1170"/>
        <w:tab w:val="right" w:leader="dot" w:pos="8640"/>
      </w:tabs>
      <w:spacing w:line="300" w:lineRule="exact"/>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AppendixHeading1">
    <w:name w:val="Appendix Heading 1"/>
    <w:basedOn w:val="Normal"/>
    <w:next w:val="Normal"/>
    <w:rsid w:val="00751992"/>
    <w:pPr>
      <w:keepNext/>
      <w:spacing w:line="400" w:lineRule="atLeast"/>
      <w:outlineLvl w:val="0"/>
    </w:pPr>
    <w:rPr>
      <w:color w:val="002C77"/>
      <w:sz w:val="36"/>
    </w:rPr>
  </w:style>
  <w:style w:type="paragraph" w:styleId="TOC9">
    <w:name w:val="toc 9"/>
    <w:basedOn w:val="Normal"/>
    <w:next w:val="Normal"/>
    <w:uiPriority w:val="39"/>
    <w:rsid w:val="0020369F"/>
    <w:pPr>
      <w:numPr>
        <w:numId w:val="5"/>
      </w:numPr>
      <w:tabs>
        <w:tab w:val="left" w:pos="1361"/>
        <w:tab w:val="right" w:leader="dot" w:pos="8641"/>
      </w:tabs>
      <w:spacing w:before="240"/>
    </w:pPr>
    <w:rPr>
      <w:noProof/>
    </w:rPr>
  </w:style>
  <w:style w:type="paragraph" w:styleId="TOC4">
    <w:name w:val="toc 4"/>
    <w:basedOn w:val="Normal"/>
    <w:next w:val="Normal"/>
    <w:rsid w:val="007F57BC"/>
    <w:pPr>
      <w:numPr>
        <w:numId w:val="7"/>
      </w:numPr>
      <w:tabs>
        <w:tab w:val="right" w:leader="dot" w:pos="8640"/>
      </w:tabs>
      <w:spacing w:line="300" w:lineRule="exact"/>
    </w:pPr>
  </w:style>
  <w:style w:type="paragraph" w:customStyle="1" w:styleId="AppendixHeading2">
    <w:name w:val="Appendix Heading 2"/>
    <w:basedOn w:val="Normal"/>
    <w:next w:val="Normal"/>
    <w:rsid w:val="00692973"/>
    <w:pPr>
      <w:keepNext/>
      <w:numPr>
        <w:ilvl w:val="1"/>
        <w:numId w:val="9"/>
      </w:numPr>
      <w:spacing w:line="320" w:lineRule="atLeast"/>
      <w:outlineLvl w:val="1"/>
    </w:pPr>
    <w:rPr>
      <w:b/>
      <w:sz w:val="28"/>
    </w:rPr>
  </w:style>
  <w:style w:type="paragraph" w:customStyle="1" w:styleId="AppendixHeading3">
    <w:name w:val="Appendix Heading 3"/>
    <w:basedOn w:val="Normal"/>
    <w:next w:val="Normal"/>
    <w:rsid w:val="00692973"/>
    <w:pPr>
      <w:keepNext/>
      <w:numPr>
        <w:ilvl w:val="2"/>
        <w:numId w:val="9"/>
      </w:numPr>
      <w:spacing w:line="320" w:lineRule="atLeast"/>
      <w:outlineLvl w:val="2"/>
    </w:pPr>
    <w:rPr>
      <w:b/>
      <w:i/>
      <w:sz w:val="28"/>
    </w:rPr>
  </w:style>
  <w:style w:type="table" w:styleId="TableGrid">
    <w:name w:val="Table Grid"/>
    <w:basedOn w:val="TableNormal"/>
    <w:uiPriority w:val="59"/>
    <w:rsid w:val="00441147"/>
    <w:pPr>
      <w:spacing w:line="2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link w:val="LogoChar"/>
    <w:rsid w:val="009B6793"/>
    <w:pPr>
      <w:spacing w:line="560" w:lineRule="exact"/>
      <w:jc w:val="center"/>
    </w:pPr>
    <w:rPr>
      <w:sz w:val="16"/>
      <w:szCs w:val="16"/>
    </w:rPr>
  </w:style>
  <w:style w:type="paragraph" w:customStyle="1" w:styleId="CompanyName">
    <w:name w:val="Company Name"/>
    <w:basedOn w:val="ClientNameCrossRef"/>
    <w:rsid w:val="000C6910"/>
    <w:rPr>
      <w:caps w:val="0"/>
    </w:rPr>
  </w:style>
  <w:style w:type="paragraph" w:customStyle="1" w:styleId="BaseBold">
    <w:name w:val="Base Bold"/>
    <w:next w:val="Base"/>
    <w:link w:val="BaseBoldChar"/>
    <w:rsid w:val="00692973"/>
    <w:pPr>
      <w:spacing w:line="200" w:lineRule="atLeast"/>
    </w:pPr>
    <w:rPr>
      <w:rFonts w:ascii="Arial" w:hAnsi="Arial" w:cs="Arial"/>
      <w:b/>
      <w:sz w:val="16"/>
      <w:szCs w:val="16"/>
    </w:rPr>
  </w:style>
  <w:style w:type="character" w:customStyle="1" w:styleId="LogoChar">
    <w:name w:val="Logo Char"/>
    <w:link w:val="Logo"/>
    <w:rsid w:val="00692973"/>
    <w:rPr>
      <w:rFonts w:ascii="Arial" w:hAnsi="Arial" w:cs="Arial"/>
      <w:sz w:val="16"/>
      <w:szCs w:val="16"/>
    </w:rPr>
  </w:style>
  <w:style w:type="character" w:customStyle="1" w:styleId="BaseBoldChar">
    <w:name w:val="Base Bold Char"/>
    <w:link w:val="BaseBold"/>
    <w:rsid w:val="00692973"/>
    <w:rPr>
      <w:rFonts w:ascii="Arial" w:hAnsi="Arial" w:cs="Arial"/>
      <w:b/>
      <w:sz w:val="16"/>
      <w:szCs w:val="16"/>
    </w:rPr>
  </w:style>
  <w:style w:type="paragraph" w:customStyle="1" w:styleId="LogoHide">
    <w:name w:val="Logo Hide"/>
    <w:basedOn w:val="Base"/>
    <w:next w:val="Base"/>
    <w:link w:val="LogoHideChar"/>
    <w:rsid w:val="00692973"/>
    <w:pPr>
      <w:spacing w:line="20" w:lineRule="exact"/>
      <w:jc w:val="right"/>
    </w:pPr>
    <w:rPr>
      <w:noProof/>
      <w:sz w:val="2"/>
      <w:szCs w:val="16"/>
    </w:rPr>
  </w:style>
  <w:style w:type="character" w:customStyle="1" w:styleId="LogoHideChar">
    <w:name w:val="Logo Hide Char"/>
    <w:link w:val="LogoHide"/>
    <w:rsid w:val="00692973"/>
    <w:rPr>
      <w:rFonts w:ascii="Arial" w:hAnsi="Arial" w:cs="Arial"/>
      <w:noProof/>
      <w:sz w:val="2"/>
      <w:szCs w:val="16"/>
    </w:rPr>
  </w:style>
  <w:style w:type="paragraph" w:customStyle="1" w:styleId="LogoHide2">
    <w:name w:val="Logo Hide 2"/>
    <w:basedOn w:val="Base"/>
    <w:next w:val="Base"/>
    <w:link w:val="LogoHide2Char"/>
    <w:rsid w:val="00692973"/>
    <w:pPr>
      <w:jc w:val="right"/>
    </w:pPr>
    <w:rPr>
      <w:noProof/>
      <w:szCs w:val="16"/>
    </w:rPr>
  </w:style>
  <w:style w:type="character" w:customStyle="1" w:styleId="LogoHide2Char">
    <w:name w:val="Logo Hide 2 Char"/>
    <w:link w:val="LogoHide2"/>
    <w:rsid w:val="00692973"/>
    <w:rPr>
      <w:rFonts w:ascii="Arial" w:hAnsi="Arial" w:cs="Arial"/>
      <w:noProof/>
      <w:sz w:val="16"/>
      <w:szCs w:val="16"/>
    </w:rPr>
  </w:style>
  <w:style w:type="character" w:customStyle="1" w:styleId="TextHide">
    <w:name w:val="Text Hide"/>
    <w:rsid w:val="00692973"/>
    <w:rPr>
      <w:szCs w:val="20"/>
    </w:rPr>
  </w:style>
  <w:style w:type="paragraph" w:styleId="ListBullet">
    <w:name w:val="List Bullet"/>
    <w:aliases w:val="List Bullet Char,List Bullet Char2,List Bullet Char1 Char,List Bullet Char Char Char"/>
    <w:basedOn w:val="Normal"/>
    <w:rsid w:val="00692973"/>
    <w:pPr>
      <w:numPr>
        <w:ilvl w:val="4"/>
        <w:numId w:val="8"/>
      </w:numPr>
      <w:contextualSpacing/>
      <w:outlineLvl w:val="4"/>
    </w:pPr>
  </w:style>
  <w:style w:type="paragraph" w:styleId="ListBullet2">
    <w:name w:val="List Bullet 2"/>
    <w:basedOn w:val="Normal"/>
    <w:rsid w:val="00692973"/>
    <w:pPr>
      <w:numPr>
        <w:ilvl w:val="5"/>
        <w:numId w:val="8"/>
      </w:numPr>
      <w:contextualSpacing/>
      <w:outlineLvl w:val="5"/>
    </w:pPr>
  </w:style>
  <w:style w:type="paragraph" w:styleId="ListBullet3">
    <w:name w:val="List Bullet 3"/>
    <w:basedOn w:val="Normal"/>
    <w:rsid w:val="00692973"/>
    <w:pPr>
      <w:numPr>
        <w:ilvl w:val="6"/>
        <w:numId w:val="8"/>
      </w:numPr>
      <w:contextualSpacing/>
      <w:outlineLvl w:val="6"/>
    </w:pPr>
  </w:style>
  <w:style w:type="paragraph" w:styleId="ListBullet4">
    <w:name w:val="List Bullet 4"/>
    <w:basedOn w:val="Normal"/>
    <w:rsid w:val="00692973"/>
    <w:pPr>
      <w:numPr>
        <w:ilvl w:val="7"/>
        <w:numId w:val="8"/>
      </w:numPr>
      <w:contextualSpacing/>
      <w:outlineLvl w:val="7"/>
    </w:pPr>
  </w:style>
  <w:style w:type="paragraph" w:customStyle="1" w:styleId="TableBullet1">
    <w:name w:val="Table Bullet 1"/>
    <w:basedOn w:val="Normal"/>
    <w:link w:val="TableBullet1Char"/>
    <w:rsid w:val="00692973"/>
    <w:pPr>
      <w:numPr>
        <w:ilvl w:val="4"/>
        <w:numId w:val="10"/>
      </w:numPr>
      <w:spacing w:before="40" w:after="40" w:line="240" w:lineRule="auto"/>
      <w:outlineLvl w:val="4"/>
    </w:pPr>
    <w:rPr>
      <w:sz w:val="16"/>
      <w:szCs w:val="16"/>
    </w:rPr>
  </w:style>
  <w:style w:type="character" w:customStyle="1" w:styleId="TableBullet1Char">
    <w:name w:val="Table Bullet 1 Char"/>
    <w:basedOn w:val="LogoChar"/>
    <w:link w:val="TableBullet1"/>
    <w:rsid w:val="00692973"/>
    <w:rPr>
      <w:rFonts w:ascii="Arial" w:hAnsi="Arial" w:cs="Arial"/>
      <w:sz w:val="16"/>
      <w:szCs w:val="16"/>
      <w:lang w:val="en-GB"/>
    </w:rPr>
  </w:style>
  <w:style w:type="paragraph" w:customStyle="1" w:styleId="TableBullet2">
    <w:name w:val="Table Bullet 2"/>
    <w:basedOn w:val="Normal"/>
    <w:link w:val="TableBullet2Char"/>
    <w:rsid w:val="00692973"/>
    <w:pPr>
      <w:numPr>
        <w:ilvl w:val="5"/>
        <w:numId w:val="10"/>
      </w:numPr>
      <w:spacing w:before="40" w:after="40" w:line="240" w:lineRule="auto"/>
      <w:outlineLvl w:val="5"/>
    </w:pPr>
    <w:rPr>
      <w:sz w:val="16"/>
      <w:szCs w:val="16"/>
    </w:rPr>
  </w:style>
  <w:style w:type="character" w:customStyle="1" w:styleId="TableBullet2Char">
    <w:name w:val="Table Bullet 2 Char"/>
    <w:basedOn w:val="LogoChar"/>
    <w:link w:val="TableBullet2"/>
    <w:rsid w:val="00692973"/>
    <w:rPr>
      <w:rFonts w:ascii="Arial" w:hAnsi="Arial" w:cs="Arial"/>
      <w:sz w:val="16"/>
      <w:szCs w:val="16"/>
      <w:lang w:val="en-GB"/>
    </w:rPr>
  </w:style>
  <w:style w:type="paragraph" w:customStyle="1" w:styleId="TableBullet3">
    <w:name w:val="Table Bullet 3"/>
    <w:basedOn w:val="Normal"/>
    <w:link w:val="TableBullet3Char"/>
    <w:rsid w:val="00692973"/>
    <w:pPr>
      <w:numPr>
        <w:ilvl w:val="6"/>
        <w:numId w:val="10"/>
      </w:numPr>
      <w:spacing w:before="40" w:after="40" w:line="240" w:lineRule="auto"/>
      <w:outlineLvl w:val="6"/>
    </w:pPr>
    <w:rPr>
      <w:sz w:val="16"/>
      <w:szCs w:val="16"/>
    </w:rPr>
  </w:style>
  <w:style w:type="character" w:customStyle="1" w:styleId="TableBullet3Char">
    <w:name w:val="Table Bullet 3 Char"/>
    <w:basedOn w:val="LogoChar"/>
    <w:link w:val="TableBullet3"/>
    <w:rsid w:val="00692973"/>
    <w:rPr>
      <w:rFonts w:ascii="Arial" w:hAnsi="Arial" w:cs="Arial"/>
      <w:sz w:val="16"/>
      <w:szCs w:val="16"/>
      <w:lang w:val="en-GB"/>
    </w:rPr>
  </w:style>
  <w:style w:type="paragraph" w:customStyle="1" w:styleId="TableBullet4">
    <w:name w:val="Table Bullet 4"/>
    <w:basedOn w:val="Normal"/>
    <w:link w:val="TableBullet4Char"/>
    <w:rsid w:val="00692973"/>
    <w:pPr>
      <w:numPr>
        <w:ilvl w:val="7"/>
        <w:numId w:val="10"/>
      </w:numPr>
      <w:spacing w:before="40" w:after="40" w:line="240" w:lineRule="auto"/>
      <w:outlineLvl w:val="7"/>
    </w:pPr>
    <w:rPr>
      <w:sz w:val="16"/>
      <w:szCs w:val="16"/>
    </w:rPr>
  </w:style>
  <w:style w:type="character" w:customStyle="1" w:styleId="TableBullet4Char">
    <w:name w:val="Table Bullet 4 Char"/>
    <w:basedOn w:val="LogoChar"/>
    <w:link w:val="TableBullet4"/>
    <w:rsid w:val="00692973"/>
    <w:rPr>
      <w:rFonts w:ascii="Arial" w:hAnsi="Arial" w:cs="Arial"/>
      <w:sz w:val="16"/>
      <w:szCs w:val="16"/>
      <w:lang w:val="en-GB"/>
    </w:rPr>
  </w:style>
  <w:style w:type="paragraph" w:styleId="ListNumber">
    <w:name w:val="List Number"/>
    <w:basedOn w:val="Normal"/>
    <w:rsid w:val="00692973"/>
    <w:pPr>
      <w:numPr>
        <w:ilvl w:val="5"/>
        <w:numId w:val="11"/>
      </w:numPr>
      <w:contextualSpacing/>
      <w:outlineLvl w:val="5"/>
    </w:pPr>
  </w:style>
  <w:style w:type="paragraph" w:styleId="ListNumber2">
    <w:name w:val="List Number 2"/>
    <w:basedOn w:val="Normal"/>
    <w:rsid w:val="00692973"/>
    <w:pPr>
      <w:numPr>
        <w:ilvl w:val="6"/>
        <w:numId w:val="11"/>
      </w:numPr>
      <w:contextualSpacing/>
      <w:outlineLvl w:val="6"/>
    </w:pPr>
  </w:style>
  <w:style w:type="paragraph" w:styleId="ListNumber3">
    <w:name w:val="List Number 3"/>
    <w:basedOn w:val="Normal"/>
    <w:rsid w:val="00692973"/>
    <w:pPr>
      <w:numPr>
        <w:ilvl w:val="7"/>
        <w:numId w:val="11"/>
      </w:numPr>
      <w:contextualSpacing/>
      <w:outlineLvl w:val="7"/>
    </w:pPr>
  </w:style>
  <w:style w:type="paragraph" w:styleId="ListNumber4">
    <w:name w:val="List Number 4"/>
    <w:basedOn w:val="Normal"/>
    <w:rsid w:val="00692973"/>
    <w:pPr>
      <w:numPr>
        <w:ilvl w:val="8"/>
        <w:numId w:val="11"/>
      </w:numPr>
      <w:contextualSpacing/>
      <w:outlineLvl w:val="8"/>
    </w:pPr>
  </w:style>
  <w:style w:type="paragraph" w:customStyle="1" w:styleId="NormalIndent1">
    <w:name w:val="Normal Indent 1"/>
    <w:basedOn w:val="Normal"/>
    <w:link w:val="NormalIndent1Char"/>
    <w:rsid w:val="00692973"/>
    <w:pPr>
      <w:ind w:left="360"/>
    </w:pPr>
    <w:rPr>
      <w:szCs w:val="16"/>
    </w:rPr>
  </w:style>
  <w:style w:type="character" w:customStyle="1" w:styleId="NormalIndent1Char">
    <w:name w:val="Normal Indent 1 Char"/>
    <w:link w:val="NormalIndent1"/>
    <w:rsid w:val="00692973"/>
    <w:rPr>
      <w:rFonts w:ascii="Arial" w:hAnsi="Arial" w:cs="Arial"/>
      <w:sz w:val="22"/>
      <w:szCs w:val="16"/>
    </w:rPr>
  </w:style>
  <w:style w:type="paragraph" w:customStyle="1" w:styleId="NormalIndent2">
    <w:name w:val="Normal Indent 2"/>
    <w:basedOn w:val="Normal"/>
    <w:link w:val="NormalIndent2Char"/>
    <w:qFormat/>
    <w:rsid w:val="00692973"/>
    <w:pPr>
      <w:ind w:left="720"/>
    </w:pPr>
    <w:rPr>
      <w:szCs w:val="16"/>
    </w:rPr>
  </w:style>
  <w:style w:type="character" w:customStyle="1" w:styleId="NormalIndent2Char">
    <w:name w:val="Normal Indent 2 Char"/>
    <w:link w:val="NormalIndent2"/>
    <w:rsid w:val="00692973"/>
    <w:rPr>
      <w:rFonts w:ascii="Arial" w:hAnsi="Arial" w:cs="Arial"/>
      <w:sz w:val="22"/>
      <w:szCs w:val="16"/>
    </w:rPr>
  </w:style>
  <w:style w:type="paragraph" w:customStyle="1" w:styleId="NormalIndent3">
    <w:name w:val="Normal Indent 3"/>
    <w:basedOn w:val="Normal"/>
    <w:link w:val="NormalIndent3Char"/>
    <w:rsid w:val="00692973"/>
    <w:pPr>
      <w:ind w:left="1080"/>
    </w:pPr>
    <w:rPr>
      <w:szCs w:val="16"/>
    </w:rPr>
  </w:style>
  <w:style w:type="character" w:customStyle="1" w:styleId="NormalIndent3Char">
    <w:name w:val="Normal Indent 3 Char"/>
    <w:link w:val="NormalIndent3"/>
    <w:rsid w:val="00692973"/>
    <w:rPr>
      <w:rFonts w:ascii="Arial" w:hAnsi="Arial" w:cs="Arial"/>
      <w:sz w:val="22"/>
      <w:szCs w:val="16"/>
    </w:rPr>
  </w:style>
  <w:style w:type="paragraph" w:customStyle="1" w:styleId="NormalIndent4">
    <w:name w:val="Normal Indent 4"/>
    <w:basedOn w:val="Normal"/>
    <w:link w:val="NormalIndent4Char"/>
    <w:rsid w:val="00692973"/>
    <w:pPr>
      <w:ind w:left="1440"/>
    </w:pPr>
    <w:rPr>
      <w:szCs w:val="16"/>
    </w:rPr>
  </w:style>
  <w:style w:type="character" w:customStyle="1" w:styleId="NormalIndent4Char">
    <w:name w:val="Normal Indent 4 Char"/>
    <w:link w:val="NormalIndent4"/>
    <w:rsid w:val="00692973"/>
    <w:rPr>
      <w:rFonts w:ascii="Arial" w:hAnsi="Arial" w:cs="Arial"/>
      <w:sz w:val="22"/>
      <w:szCs w:val="16"/>
    </w:rPr>
  </w:style>
  <w:style w:type="paragraph" w:customStyle="1" w:styleId="TableHeadingText">
    <w:name w:val="Table Heading Text"/>
    <w:basedOn w:val="Normal"/>
    <w:link w:val="TableHeadingTextChar"/>
    <w:rsid w:val="00692973"/>
    <w:pPr>
      <w:keepNext/>
      <w:spacing w:before="40" w:after="40" w:line="240" w:lineRule="auto"/>
    </w:pPr>
    <w:rPr>
      <w:b/>
      <w:sz w:val="18"/>
      <w:szCs w:val="16"/>
    </w:rPr>
  </w:style>
  <w:style w:type="character" w:customStyle="1" w:styleId="TableHeadingTextChar">
    <w:name w:val="Table Heading Text Char"/>
    <w:link w:val="TableHeadingText"/>
    <w:rsid w:val="00692973"/>
    <w:rPr>
      <w:rFonts w:ascii="Arial" w:hAnsi="Arial" w:cs="Arial"/>
      <w:b/>
      <w:sz w:val="18"/>
      <w:szCs w:val="16"/>
    </w:rPr>
  </w:style>
  <w:style w:type="paragraph" w:customStyle="1" w:styleId="TableText">
    <w:name w:val="Table Text"/>
    <w:basedOn w:val="Normal"/>
    <w:link w:val="TableTextChar"/>
    <w:rsid w:val="00692973"/>
    <w:pPr>
      <w:spacing w:before="40" w:after="40" w:line="240" w:lineRule="auto"/>
    </w:pPr>
    <w:rPr>
      <w:sz w:val="16"/>
      <w:szCs w:val="16"/>
    </w:rPr>
  </w:style>
  <w:style w:type="character" w:customStyle="1" w:styleId="TableTextChar">
    <w:name w:val="Table Text Char"/>
    <w:basedOn w:val="LogoChar"/>
    <w:link w:val="TableText"/>
    <w:rsid w:val="00692973"/>
    <w:rPr>
      <w:rFonts w:ascii="Arial" w:hAnsi="Arial" w:cs="Arial"/>
      <w:sz w:val="16"/>
      <w:szCs w:val="16"/>
    </w:rPr>
  </w:style>
  <w:style w:type="paragraph" w:styleId="BalloonText">
    <w:name w:val="Balloon Text"/>
    <w:basedOn w:val="Normal"/>
    <w:link w:val="BalloonTextChar"/>
    <w:rsid w:val="00C7765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7765B"/>
    <w:rPr>
      <w:rFonts w:ascii="Tahoma" w:hAnsi="Tahoma" w:cs="Tahoma"/>
      <w:sz w:val="16"/>
      <w:szCs w:val="16"/>
    </w:rPr>
  </w:style>
  <w:style w:type="paragraph" w:styleId="ListParagraph">
    <w:name w:val="List Paragraph"/>
    <w:aliases w:val="PRI Bullets,List Paragraph1,Paragraphe de liste,RTC - Bulleted List - multiple levels"/>
    <w:basedOn w:val="Normal"/>
    <w:link w:val="ListParagraphChar"/>
    <w:uiPriority w:val="34"/>
    <w:qFormat/>
    <w:rsid w:val="00006DB4"/>
    <w:pPr>
      <w:ind w:left="720"/>
      <w:contextualSpacing/>
    </w:pPr>
  </w:style>
  <w:style w:type="table" w:styleId="TableList5">
    <w:name w:val="Table List 5"/>
    <w:basedOn w:val="TableNormal"/>
    <w:rsid w:val="002620BF"/>
    <w:pPr>
      <w:spacing w:line="26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2F4EA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ootnoteTextChar">
    <w:name w:val="Footnote Text Char"/>
    <w:aliases w:val="Footnote Text Char1 Char Char,Footnote Text Char Char Char Char,Char1 Char Char Char Char,Char1 Char"/>
    <w:basedOn w:val="DefaultParagraphFont"/>
    <w:link w:val="FootnoteText"/>
    <w:semiHidden/>
    <w:rsid w:val="00F15165"/>
    <w:rPr>
      <w:rFonts w:ascii="Arial" w:hAnsi="Arial" w:cs="Arial"/>
      <w:sz w:val="18"/>
    </w:rPr>
  </w:style>
  <w:style w:type="character" w:customStyle="1" w:styleId="Heading2Char">
    <w:name w:val="Heading 2 Char"/>
    <w:basedOn w:val="DefaultParagraphFont"/>
    <w:link w:val="Heading2"/>
    <w:rsid w:val="003D7189"/>
    <w:rPr>
      <w:rFonts w:ascii="Arial" w:hAnsi="Arial" w:cs="Arial"/>
      <w:b/>
      <w:sz w:val="28"/>
    </w:rPr>
  </w:style>
  <w:style w:type="character" w:styleId="Hyperlink">
    <w:name w:val="Hyperlink"/>
    <w:basedOn w:val="DefaultParagraphFont"/>
    <w:rsid w:val="003D7189"/>
    <w:rPr>
      <w:color w:val="0000FF" w:themeColor="hyperlink"/>
      <w:u w:val="single"/>
    </w:rPr>
  </w:style>
  <w:style w:type="character" w:styleId="CommentReference">
    <w:name w:val="annotation reference"/>
    <w:basedOn w:val="DefaultParagraphFont"/>
    <w:uiPriority w:val="99"/>
    <w:unhideWhenUsed/>
    <w:rsid w:val="00C67D82"/>
    <w:rPr>
      <w:sz w:val="16"/>
      <w:szCs w:val="16"/>
    </w:rPr>
  </w:style>
  <w:style w:type="paragraph" w:styleId="CommentText">
    <w:name w:val="annotation text"/>
    <w:basedOn w:val="Normal"/>
    <w:link w:val="CommentTextChar"/>
    <w:uiPriority w:val="99"/>
    <w:unhideWhenUsed/>
    <w:rsid w:val="00C67D82"/>
    <w:pPr>
      <w:spacing w:line="240" w:lineRule="auto"/>
    </w:pPr>
    <w:rPr>
      <w:sz w:val="20"/>
    </w:rPr>
  </w:style>
  <w:style w:type="character" w:customStyle="1" w:styleId="CommentTextChar">
    <w:name w:val="Comment Text Char"/>
    <w:basedOn w:val="DefaultParagraphFont"/>
    <w:link w:val="CommentText"/>
    <w:uiPriority w:val="99"/>
    <w:rsid w:val="00C67D82"/>
    <w:rPr>
      <w:rFonts w:ascii="Arial" w:hAnsi="Arial" w:cs="Arial"/>
      <w:lang w:val="en-GB"/>
    </w:rPr>
  </w:style>
  <w:style w:type="paragraph" w:styleId="CommentSubject">
    <w:name w:val="annotation subject"/>
    <w:basedOn w:val="CommentText"/>
    <w:next w:val="CommentText"/>
    <w:link w:val="CommentSubjectChar"/>
    <w:rsid w:val="00F41A90"/>
    <w:rPr>
      <w:b/>
      <w:bCs/>
      <w:lang w:val="en-US"/>
    </w:rPr>
  </w:style>
  <w:style w:type="character" w:customStyle="1" w:styleId="CommentSubjectChar">
    <w:name w:val="Comment Subject Char"/>
    <w:basedOn w:val="CommentTextChar"/>
    <w:link w:val="CommentSubject"/>
    <w:rsid w:val="00F41A90"/>
    <w:rPr>
      <w:rFonts w:ascii="Arial" w:hAnsi="Arial" w:cs="Arial"/>
      <w:b/>
      <w:bCs/>
      <w:lang w:val="en-GB"/>
    </w:rPr>
  </w:style>
  <w:style w:type="table" w:styleId="LightList-Accent5">
    <w:name w:val="Light List Accent 5"/>
    <w:basedOn w:val="TableNormal"/>
    <w:uiPriority w:val="61"/>
    <w:rsid w:val="00786C4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786C4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Subtitle">
    <w:name w:val="Subtitle"/>
    <w:basedOn w:val="Normal"/>
    <w:next w:val="Normal"/>
    <w:link w:val="SubtitleChar"/>
    <w:qFormat/>
    <w:rsid w:val="00340F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40FB1"/>
    <w:rPr>
      <w:rFonts w:asciiTheme="majorHAnsi" w:eastAsiaTheme="majorEastAsia" w:hAnsiTheme="majorHAnsi" w:cstheme="majorBidi"/>
      <w:i/>
      <w:iCs/>
      <w:color w:val="4F81BD" w:themeColor="accent1"/>
      <w:spacing w:val="15"/>
      <w:sz w:val="24"/>
      <w:szCs w:val="24"/>
    </w:rPr>
  </w:style>
  <w:style w:type="character" w:customStyle="1" w:styleId="FooterChar">
    <w:name w:val="Footer Char"/>
    <w:basedOn w:val="DefaultParagraphFont"/>
    <w:link w:val="Footer"/>
    <w:uiPriority w:val="99"/>
    <w:rsid w:val="002B771A"/>
    <w:rPr>
      <w:rFonts w:ascii="Arial" w:hAnsi="Arial" w:cs="Arial"/>
      <w:sz w:val="22"/>
    </w:rPr>
  </w:style>
  <w:style w:type="table" w:styleId="LightList-Accent1">
    <w:name w:val="Light List Accent 1"/>
    <w:basedOn w:val="TableNormal"/>
    <w:uiPriority w:val="61"/>
    <w:rsid w:val="0081170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1">
    <w:name w:val="Table Grid 1"/>
    <w:basedOn w:val="TableNormal"/>
    <w:rsid w:val="0096158A"/>
    <w:pPr>
      <w:spacing w:line="26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Emphasis">
    <w:name w:val="Emphasis"/>
    <w:basedOn w:val="DefaultParagraphFont"/>
    <w:qFormat/>
    <w:rsid w:val="008F45A9"/>
    <w:rPr>
      <w:i/>
      <w:iCs/>
    </w:rPr>
  </w:style>
  <w:style w:type="paragraph" w:styleId="Revision">
    <w:name w:val="Revision"/>
    <w:hidden/>
    <w:uiPriority w:val="99"/>
    <w:semiHidden/>
    <w:rsid w:val="003D587E"/>
    <w:rPr>
      <w:rFonts w:ascii="Arial" w:hAnsi="Arial" w:cs="Arial"/>
      <w:sz w:val="22"/>
    </w:rPr>
  </w:style>
  <w:style w:type="character" w:customStyle="1" w:styleId="Heading1Char">
    <w:name w:val="Heading 1 Char"/>
    <w:basedOn w:val="DefaultParagraphFont"/>
    <w:link w:val="Heading1"/>
    <w:rsid w:val="00997353"/>
    <w:rPr>
      <w:rFonts w:ascii="Arial" w:hAnsi="Arial" w:cs="Arial"/>
      <w:color w:val="002C77"/>
      <w:sz w:val="36"/>
      <w:lang w:val="en-GB"/>
    </w:rPr>
  </w:style>
  <w:style w:type="paragraph" w:customStyle="1" w:styleId="Default">
    <w:name w:val="Default"/>
    <w:rsid w:val="004E4E3F"/>
    <w:pPr>
      <w:autoSpaceDE w:val="0"/>
      <w:autoSpaceDN w:val="0"/>
      <w:adjustRightInd w:val="0"/>
    </w:pPr>
    <w:rPr>
      <w:rFonts w:ascii="Arial Narrow" w:hAnsi="Arial Narrow" w:cs="Arial Narrow"/>
      <w:color w:val="000000"/>
      <w:sz w:val="24"/>
      <w:szCs w:val="24"/>
      <w:lang w:val="en-GB"/>
    </w:rPr>
  </w:style>
  <w:style w:type="character" w:customStyle="1" w:styleId="ListParagraphChar">
    <w:name w:val="List Paragraph Char"/>
    <w:aliases w:val="PRI Bullets Char,List Paragraph1 Char,Paragraphe de liste Char,RTC - Bulleted List - multiple levels Char"/>
    <w:basedOn w:val="DefaultParagraphFont"/>
    <w:link w:val="ListParagraph"/>
    <w:uiPriority w:val="34"/>
    <w:rsid w:val="00315847"/>
    <w:rPr>
      <w:rFonts w:ascii="Arial" w:hAnsi="Arial" w:cs="Arial"/>
      <w:sz w:val="22"/>
      <w:lang w:val="en-GB"/>
    </w:rPr>
  </w:style>
  <w:style w:type="paragraph" w:customStyle="1" w:styleId="DocumentName">
    <w:name w:val="Document Name"/>
    <w:basedOn w:val="Base"/>
    <w:next w:val="Normal"/>
    <w:rsid w:val="001E2BE8"/>
    <w:pPr>
      <w:spacing w:after="180" w:line="624" w:lineRule="exact"/>
    </w:pPr>
    <w:rPr>
      <w:rFonts w:ascii="Grifo S" w:hAnsi="Grifo S" w:cs="Times New Roman"/>
      <w:b/>
      <w:color w:val="003865"/>
      <w:sz w:val="68"/>
    </w:rPr>
  </w:style>
  <w:style w:type="paragraph" w:customStyle="1" w:styleId="RTC-Normaltext">
    <w:name w:val="RTC - Normal text"/>
    <w:basedOn w:val="Normal"/>
    <w:link w:val="RTC-NormaltextChar"/>
    <w:qFormat/>
    <w:rsid w:val="001E2BE8"/>
    <w:pPr>
      <w:suppressAutoHyphens/>
      <w:spacing w:after="240" w:line="240" w:lineRule="auto"/>
    </w:pPr>
    <w:rPr>
      <w:szCs w:val="22"/>
      <w:lang w:eastAsia="en-GB"/>
    </w:rPr>
  </w:style>
  <w:style w:type="character" w:customStyle="1" w:styleId="RTC-NormaltextChar">
    <w:name w:val="RTC - Normal text Char"/>
    <w:basedOn w:val="DefaultParagraphFont"/>
    <w:link w:val="RTC-Normaltext"/>
    <w:rsid w:val="001E2BE8"/>
    <w:rPr>
      <w:rFonts w:ascii="Arial" w:hAnsi="Arial" w:cs="Arial"/>
      <w:sz w:val="22"/>
      <w:szCs w:val="22"/>
      <w:lang w:val="en-GB" w:eastAsia="en-GB"/>
    </w:rPr>
  </w:style>
  <w:style w:type="paragraph" w:styleId="NormalIndent">
    <w:name w:val="Normal Indent"/>
    <w:basedOn w:val="Normal"/>
    <w:uiPriority w:val="99"/>
    <w:semiHidden/>
    <w:unhideWhenUsed/>
    <w:rsid w:val="001E2BE8"/>
    <w:pPr>
      <w:numPr>
        <w:numId w:val="22"/>
      </w:numPr>
      <w:suppressLineNumbers/>
      <w:suppressAutoHyphens/>
      <w:spacing w:after="240" w:line="240" w:lineRule="auto"/>
      <w:outlineLvl w:val="0"/>
    </w:pPr>
    <w:rPr>
      <w:rFonts w:ascii="Times New Roman" w:hAnsi="Times New Roman" w:cs="Times New Roman"/>
      <w:sz w:val="24"/>
      <w:lang w:eastAsia="en-GB"/>
    </w:rPr>
  </w:style>
  <w:style w:type="paragraph" w:customStyle="1" w:styleId="OutlineNum">
    <w:name w:val="Outline Num"/>
    <w:basedOn w:val="Normal"/>
    <w:next w:val="OutlineNum2"/>
    <w:rsid w:val="001E2BE8"/>
    <w:pPr>
      <w:numPr>
        <w:numId w:val="23"/>
      </w:numPr>
      <w:suppressLineNumbers/>
      <w:suppressAutoHyphens/>
      <w:spacing w:after="240" w:line="240" w:lineRule="auto"/>
      <w:outlineLvl w:val="0"/>
    </w:pPr>
    <w:rPr>
      <w:rFonts w:ascii="Times New Roman" w:hAnsi="Times New Roman" w:cs="Times New Roman"/>
      <w:b/>
      <w:sz w:val="24"/>
      <w:lang w:eastAsia="en-GB"/>
    </w:rPr>
  </w:style>
  <w:style w:type="paragraph" w:customStyle="1" w:styleId="OutlineNum2">
    <w:name w:val="Outline Num 2"/>
    <w:basedOn w:val="Normal"/>
    <w:link w:val="OutlineNum2Char"/>
    <w:rsid w:val="001E2BE8"/>
    <w:pPr>
      <w:numPr>
        <w:ilvl w:val="1"/>
        <w:numId w:val="23"/>
      </w:numPr>
      <w:suppressLineNumbers/>
      <w:suppressAutoHyphens/>
      <w:spacing w:after="240" w:line="240" w:lineRule="auto"/>
      <w:outlineLvl w:val="1"/>
    </w:pPr>
    <w:rPr>
      <w:rFonts w:ascii="Times New Roman" w:hAnsi="Times New Roman" w:cs="Times New Roman"/>
      <w:sz w:val="24"/>
      <w:lang w:eastAsia="en-GB"/>
    </w:rPr>
  </w:style>
  <w:style w:type="paragraph" w:customStyle="1" w:styleId="OutlineNum3">
    <w:name w:val="Outline Num 3"/>
    <w:basedOn w:val="Normal"/>
    <w:rsid w:val="001E2BE8"/>
    <w:pPr>
      <w:numPr>
        <w:ilvl w:val="2"/>
        <w:numId w:val="23"/>
      </w:numPr>
      <w:suppressLineNumbers/>
      <w:suppressAutoHyphens/>
      <w:spacing w:after="240" w:line="240" w:lineRule="auto"/>
      <w:outlineLvl w:val="2"/>
    </w:pPr>
    <w:rPr>
      <w:rFonts w:ascii="Times New Roman" w:hAnsi="Times New Roman" w:cs="Times New Roman"/>
      <w:sz w:val="24"/>
      <w:lang w:eastAsia="en-GB"/>
    </w:rPr>
  </w:style>
  <w:style w:type="character" w:customStyle="1" w:styleId="OutlineNum2Char">
    <w:name w:val="Outline Num 2 Char"/>
    <w:link w:val="OutlineNum2"/>
    <w:rsid w:val="001E2BE8"/>
    <w:rPr>
      <w:sz w:val="24"/>
      <w:lang w:val="en-GB" w:eastAsia="en-GB"/>
    </w:rPr>
  </w:style>
  <w:style w:type="character" w:styleId="FollowedHyperlink">
    <w:name w:val="FollowedHyperlink"/>
    <w:basedOn w:val="DefaultParagraphFont"/>
    <w:semiHidden/>
    <w:unhideWhenUsed/>
    <w:rsid w:val="000158DB"/>
    <w:rPr>
      <w:color w:val="800080" w:themeColor="followedHyperlink"/>
      <w:u w:val="single"/>
    </w:rPr>
  </w:style>
  <w:style w:type="paragraph" w:customStyle="1" w:styleId="HeadingNumber1">
    <w:name w:val="Heading Number 1"/>
    <w:basedOn w:val="Normal"/>
    <w:next w:val="NormalIndent2"/>
    <w:link w:val="HeadingNumber1Char"/>
    <w:qFormat/>
    <w:rsid w:val="001D24B6"/>
    <w:pPr>
      <w:keepNext/>
      <w:numPr>
        <w:ilvl w:val="4"/>
        <w:numId w:val="38"/>
      </w:numPr>
      <w:spacing w:after="180" w:line="240" w:lineRule="auto"/>
      <w:outlineLvl w:val="4"/>
    </w:pPr>
    <w:rPr>
      <w:b/>
      <w:color w:val="002C77"/>
      <w:sz w:val="28"/>
    </w:rPr>
  </w:style>
  <w:style w:type="character" w:customStyle="1" w:styleId="HeadingNumber1Char">
    <w:name w:val="Heading Number 1 Char"/>
    <w:basedOn w:val="DefaultParagraphFont"/>
    <w:link w:val="HeadingNumber1"/>
    <w:rsid w:val="001D24B6"/>
    <w:rPr>
      <w:rFonts w:ascii="Arial" w:hAnsi="Arial" w:cs="Arial"/>
      <w:b/>
      <w:color w:val="002C77"/>
      <w:sz w:val="28"/>
      <w:lang w:val="en-GB"/>
    </w:rPr>
  </w:style>
  <w:style w:type="paragraph" w:customStyle="1" w:styleId="HeadingNumber2">
    <w:name w:val="Heading Number 2"/>
    <w:basedOn w:val="Normal"/>
    <w:next w:val="NormalIndent2"/>
    <w:qFormat/>
    <w:rsid w:val="001D24B6"/>
    <w:pPr>
      <w:keepNext/>
      <w:numPr>
        <w:ilvl w:val="5"/>
        <w:numId w:val="38"/>
      </w:numPr>
      <w:spacing w:after="180" w:line="240" w:lineRule="auto"/>
      <w:outlineLvl w:val="5"/>
    </w:pPr>
    <w:rPr>
      <w:b/>
      <w:color w:val="009DE0"/>
      <w:sz w:val="24"/>
    </w:rPr>
  </w:style>
  <w:style w:type="paragraph" w:customStyle="1" w:styleId="HeadingNumber3">
    <w:name w:val="Heading Number 3"/>
    <w:basedOn w:val="Normal"/>
    <w:next w:val="NormalIndent2"/>
    <w:qFormat/>
    <w:rsid w:val="001D24B6"/>
    <w:pPr>
      <w:keepNext/>
      <w:numPr>
        <w:ilvl w:val="6"/>
        <w:numId w:val="38"/>
      </w:numPr>
      <w:spacing w:after="180" w:line="240" w:lineRule="auto"/>
      <w:outlineLvl w:val="6"/>
    </w:pPr>
    <w:rPr>
      <w:b/>
      <w:color w:val="565656"/>
      <w:sz w:val="24"/>
    </w:rPr>
  </w:style>
  <w:style w:type="paragraph" w:customStyle="1" w:styleId="HeadingNumber4">
    <w:name w:val="Heading Number 4"/>
    <w:basedOn w:val="Normal"/>
    <w:next w:val="NormalIndent2"/>
    <w:qFormat/>
    <w:rsid w:val="001D24B6"/>
    <w:pPr>
      <w:keepNext/>
      <w:numPr>
        <w:ilvl w:val="7"/>
        <w:numId w:val="38"/>
      </w:numPr>
      <w:spacing w:after="180" w:line="240" w:lineRule="auto"/>
      <w:outlineLvl w:val="7"/>
    </w:pPr>
    <w:rPr>
      <w:color w:val="5656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801">
      <w:bodyDiv w:val="1"/>
      <w:marLeft w:val="0"/>
      <w:marRight w:val="0"/>
      <w:marTop w:val="0"/>
      <w:marBottom w:val="0"/>
      <w:divBdr>
        <w:top w:val="none" w:sz="0" w:space="0" w:color="auto"/>
        <w:left w:val="none" w:sz="0" w:space="0" w:color="auto"/>
        <w:bottom w:val="none" w:sz="0" w:space="0" w:color="auto"/>
        <w:right w:val="none" w:sz="0" w:space="0" w:color="auto"/>
      </w:divBdr>
    </w:div>
    <w:div w:id="22753155">
      <w:bodyDiv w:val="1"/>
      <w:marLeft w:val="0"/>
      <w:marRight w:val="0"/>
      <w:marTop w:val="0"/>
      <w:marBottom w:val="0"/>
      <w:divBdr>
        <w:top w:val="none" w:sz="0" w:space="0" w:color="auto"/>
        <w:left w:val="none" w:sz="0" w:space="0" w:color="auto"/>
        <w:bottom w:val="none" w:sz="0" w:space="0" w:color="auto"/>
        <w:right w:val="none" w:sz="0" w:space="0" w:color="auto"/>
      </w:divBdr>
    </w:div>
    <w:div w:id="31736367">
      <w:bodyDiv w:val="1"/>
      <w:marLeft w:val="0"/>
      <w:marRight w:val="0"/>
      <w:marTop w:val="0"/>
      <w:marBottom w:val="0"/>
      <w:divBdr>
        <w:top w:val="none" w:sz="0" w:space="0" w:color="auto"/>
        <w:left w:val="none" w:sz="0" w:space="0" w:color="auto"/>
        <w:bottom w:val="none" w:sz="0" w:space="0" w:color="auto"/>
        <w:right w:val="none" w:sz="0" w:space="0" w:color="auto"/>
      </w:divBdr>
    </w:div>
    <w:div w:id="61292378">
      <w:bodyDiv w:val="1"/>
      <w:marLeft w:val="0"/>
      <w:marRight w:val="0"/>
      <w:marTop w:val="0"/>
      <w:marBottom w:val="0"/>
      <w:divBdr>
        <w:top w:val="none" w:sz="0" w:space="0" w:color="auto"/>
        <w:left w:val="none" w:sz="0" w:space="0" w:color="auto"/>
        <w:bottom w:val="none" w:sz="0" w:space="0" w:color="auto"/>
        <w:right w:val="none" w:sz="0" w:space="0" w:color="auto"/>
      </w:divBdr>
    </w:div>
    <w:div w:id="64182224">
      <w:bodyDiv w:val="1"/>
      <w:marLeft w:val="0"/>
      <w:marRight w:val="0"/>
      <w:marTop w:val="0"/>
      <w:marBottom w:val="0"/>
      <w:divBdr>
        <w:top w:val="none" w:sz="0" w:space="0" w:color="auto"/>
        <w:left w:val="none" w:sz="0" w:space="0" w:color="auto"/>
        <w:bottom w:val="none" w:sz="0" w:space="0" w:color="auto"/>
        <w:right w:val="none" w:sz="0" w:space="0" w:color="auto"/>
      </w:divBdr>
    </w:div>
    <w:div w:id="89546953">
      <w:bodyDiv w:val="1"/>
      <w:marLeft w:val="0"/>
      <w:marRight w:val="0"/>
      <w:marTop w:val="0"/>
      <w:marBottom w:val="0"/>
      <w:divBdr>
        <w:top w:val="none" w:sz="0" w:space="0" w:color="auto"/>
        <w:left w:val="none" w:sz="0" w:space="0" w:color="auto"/>
        <w:bottom w:val="none" w:sz="0" w:space="0" w:color="auto"/>
        <w:right w:val="none" w:sz="0" w:space="0" w:color="auto"/>
      </w:divBdr>
    </w:div>
    <w:div w:id="98062260">
      <w:bodyDiv w:val="1"/>
      <w:marLeft w:val="0"/>
      <w:marRight w:val="0"/>
      <w:marTop w:val="0"/>
      <w:marBottom w:val="0"/>
      <w:divBdr>
        <w:top w:val="none" w:sz="0" w:space="0" w:color="auto"/>
        <w:left w:val="none" w:sz="0" w:space="0" w:color="auto"/>
        <w:bottom w:val="none" w:sz="0" w:space="0" w:color="auto"/>
        <w:right w:val="none" w:sz="0" w:space="0" w:color="auto"/>
      </w:divBdr>
    </w:div>
    <w:div w:id="104539108">
      <w:bodyDiv w:val="1"/>
      <w:marLeft w:val="0"/>
      <w:marRight w:val="0"/>
      <w:marTop w:val="0"/>
      <w:marBottom w:val="0"/>
      <w:divBdr>
        <w:top w:val="none" w:sz="0" w:space="0" w:color="auto"/>
        <w:left w:val="none" w:sz="0" w:space="0" w:color="auto"/>
        <w:bottom w:val="none" w:sz="0" w:space="0" w:color="auto"/>
        <w:right w:val="none" w:sz="0" w:space="0" w:color="auto"/>
      </w:divBdr>
    </w:div>
    <w:div w:id="116340235">
      <w:bodyDiv w:val="1"/>
      <w:marLeft w:val="0"/>
      <w:marRight w:val="0"/>
      <w:marTop w:val="0"/>
      <w:marBottom w:val="0"/>
      <w:divBdr>
        <w:top w:val="none" w:sz="0" w:space="0" w:color="auto"/>
        <w:left w:val="none" w:sz="0" w:space="0" w:color="auto"/>
        <w:bottom w:val="none" w:sz="0" w:space="0" w:color="auto"/>
        <w:right w:val="none" w:sz="0" w:space="0" w:color="auto"/>
      </w:divBdr>
    </w:div>
    <w:div w:id="137848250">
      <w:bodyDiv w:val="1"/>
      <w:marLeft w:val="0"/>
      <w:marRight w:val="0"/>
      <w:marTop w:val="0"/>
      <w:marBottom w:val="0"/>
      <w:divBdr>
        <w:top w:val="none" w:sz="0" w:space="0" w:color="auto"/>
        <w:left w:val="none" w:sz="0" w:space="0" w:color="auto"/>
        <w:bottom w:val="none" w:sz="0" w:space="0" w:color="auto"/>
        <w:right w:val="none" w:sz="0" w:space="0" w:color="auto"/>
      </w:divBdr>
      <w:divsChild>
        <w:div w:id="1219635293">
          <w:marLeft w:val="317"/>
          <w:marRight w:val="0"/>
          <w:marTop w:val="280"/>
          <w:marBottom w:val="0"/>
          <w:divBdr>
            <w:top w:val="none" w:sz="0" w:space="0" w:color="auto"/>
            <w:left w:val="none" w:sz="0" w:space="0" w:color="auto"/>
            <w:bottom w:val="none" w:sz="0" w:space="0" w:color="auto"/>
            <w:right w:val="none" w:sz="0" w:space="0" w:color="auto"/>
          </w:divBdr>
        </w:div>
        <w:div w:id="1579443864">
          <w:marLeft w:val="317"/>
          <w:marRight w:val="0"/>
          <w:marTop w:val="280"/>
          <w:marBottom w:val="0"/>
          <w:divBdr>
            <w:top w:val="none" w:sz="0" w:space="0" w:color="auto"/>
            <w:left w:val="none" w:sz="0" w:space="0" w:color="auto"/>
            <w:bottom w:val="none" w:sz="0" w:space="0" w:color="auto"/>
            <w:right w:val="none" w:sz="0" w:space="0" w:color="auto"/>
          </w:divBdr>
        </w:div>
      </w:divsChild>
    </w:div>
    <w:div w:id="148055498">
      <w:bodyDiv w:val="1"/>
      <w:marLeft w:val="0"/>
      <w:marRight w:val="0"/>
      <w:marTop w:val="0"/>
      <w:marBottom w:val="0"/>
      <w:divBdr>
        <w:top w:val="none" w:sz="0" w:space="0" w:color="auto"/>
        <w:left w:val="none" w:sz="0" w:space="0" w:color="auto"/>
        <w:bottom w:val="none" w:sz="0" w:space="0" w:color="auto"/>
        <w:right w:val="none" w:sz="0" w:space="0" w:color="auto"/>
      </w:divBdr>
    </w:div>
    <w:div w:id="148863345">
      <w:bodyDiv w:val="1"/>
      <w:marLeft w:val="0"/>
      <w:marRight w:val="0"/>
      <w:marTop w:val="0"/>
      <w:marBottom w:val="0"/>
      <w:divBdr>
        <w:top w:val="none" w:sz="0" w:space="0" w:color="auto"/>
        <w:left w:val="none" w:sz="0" w:space="0" w:color="auto"/>
        <w:bottom w:val="none" w:sz="0" w:space="0" w:color="auto"/>
        <w:right w:val="none" w:sz="0" w:space="0" w:color="auto"/>
      </w:divBdr>
    </w:div>
    <w:div w:id="175576710">
      <w:bodyDiv w:val="1"/>
      <w:marLeft w:val="0"/>
      <w:marRight w:val="0"/>
      <w:marTop w:val="0"/>
      <w:marBottom w:val="0"/>
      <w:divBdr>
        <w:top w:val="none" w:sz="0" w:space="0" w:color="auto"/>
        <w:left w:val="none" w:sz="0" w:space="0" w:color="auto"/>
        <w:bottom w:val="none" w:sz="0" w:space="0" w:color="auto"/>
        <w:right w:val="none" w:sz="0" w:space="0" w:color="auto"/>
      </w:divBdr>
    </w:div>
    <w:div w:id="190148861">
      <w:bodyDiv w:val="1"/>
      <w:marLeft w:val="0"/>
      <w:marRight w:val="0"/>
      <w:marTop w:val="0"/>
      <w:marBottom w:val="0"/>
      <w:divBdr>
        <w:top w:val="none" w:sz="0" w:space="0" w:color="auto"/>
        <w:left w:val="none" w:sz="0" w:space="0" w:color="auto"/>
        <w:bottom w:val="none" w:sz="0" w:space="0" w:color="auto"/>
        <w:right w:val="none" w:sz="0" w:space="0" w:color="auto"/>
      </w:divBdr>
    </w:div>
    <w:div w:id="192966780">
      <w:bodyDiv w:val="1"/>
      <w:marLeft w:val="0"/>
      <w:marRight w:val="0"/>
      <w:marTop w:val="0"/>
      <w:marBottom w:val="0"/>
      <w:divBdr>
        <w:top w:val="none" w:sz="0" w:space="0" w:color="auto"/>
        <w:left w:val="none" w:sz="0" w:space="0" w:color="auto"/>
        <w:bottom w:val="none" w:sz="0" w:space="0" w:color="auto"/>
        <w:right w:val="none" w:sz="0" w:space="0" w:color="auto"/>
      </w:divBdr>
    </w:div>
    <w:div w:id="209151418">
      <w:bodyDiv w:val="1"/>
      <w:marLeft w:val="0"/>
      <w:marRight w:val="0"/>
      <w:marTop w:val="0"/>
      <w:marBottom w:val="0"/>
      <w:divBdr>
        <w:top w:val="none" w:sz="0" w:space="0" w:color="auto"/>
        <w:left w:val="none" w:sz="0" w:space="0" w:color="auto"/>
        <w:bottom w:val="none" w:sz="0" w:space="0" w:color="auto"/>
        <w:right w:val="none" w:sz="0" w:space="0" w:color="auto"/>
      </w:divBdr>
    </w:div>
    <w:div w:id="218856982">
      <w:bodyDiv w:val="1"/>
      <w:marLeft w:val="0"/>
      <w:marRight w:val="0"/>
      <w:marTop w:val="0"/>
      <w:marBottom w:val="0"/>
      <w:divBdr>
        <w:top w:val="none" w:sz="0" w:space="0" w:color="auto"/>
        <w:left w:val="none" w:sz="0" w:space="0" w:color="auto"/>
        <w:bottom w:val="none" w:sz="0" w:space="0" w:color="auto"/>
        <w:right w:val="none" w:sz="0" w:space="0" w:color="auto"/>
      </w:divBdr>
    </w:div>
    <w:div w:id="230891536">
      <w:bodyDiv w:val="1"/>
      <w:marLeft w:val="0"/>
      <w:marRight w:val="0"/>
      <w:marTop w:val="0"/>
      <w:marBottom w:val="0"/>
      <w:divBdr>
        <w:top w:val="none" w:sz="0" w:space="0" w:color="auto"/>
        <w:left w:val="none" w:sz="0" w:space="0" w:color="auto"/>
        <w:bottom w:val="none" w:sz="0" w:space="0" w:color="auto"/>
        <w:right w:val="none" w:sz="0" w:space="0" w:color="auto"/>
      </w:divBdr>
    </w:div>
    <w:div w:id="266353750">
      <w:bodyDiv w:val="1"/>
      <w:marLeft w:val="0"/>
      <w:marRight w:val="0"/>
      <w:marTop w:val="0"/>
      <w:marBottom w:val="0"/>
      <w:divBdr>
        <w:top w:val="none" w:sz="0" w:space="0" w:color="auto"/>
        <w:left w:val="none" w:sz="0" w:space="0" w:color="auto"/>
        <w:bottom w:val="none" w:sz="0" w:space="0" w:color="auto"/>
        <w:right w:val="none" w:sz="0" w:space="0" w:color="auto"/>
      </w:divBdr>
    </w:div>
    <w:div w:id="280963136">
      <w:bodyDiv w:val="1"/>
      <w:marLeft w:val="0"/>
      <w:marRight w:val="0"/>
      <w:marTop w:val="0"/>
      <w:marBottom w:val="0"/>
      <w:divBdr>
        <w:top w:val="none" w:sz="0" w:space="0" w:color="auto"/>
        <w:left w:val="none" w:sz="0" w:space="0" w:color="auto"/>
        <w:bottom w:val="none" w:sz="0" w:space="0" w:color="auto"/>
        <w:right w:val="none" w:sz="0" w:space="0" w:color="auto"/>
      </w:divBdr>
    </w:div>
    <w:div w:id="288825139">
      <w:bodyDiv w:val="1"/>
      <w:marLeft w:val="0"/>
      <w:marRight w:val="0"/>
      <w:marTop w:val="0"/>
      <w:marBottom w:val="0"/>
      <w:divBdr>
        <w:top w:val="none" w:sz="0" w:space="0" w:color="auto"/>
        <w:left w:val="none" w:sz="0" w:space="0" w:color="auto"/>
        <w:bottom w:val="none" w:sz="0" w:space="0" w:color="auto"/>
        <w:right w:val="none" w:sz="0" w:space="0" w:color="auto"/>
      </w:divBdr>
    </w:div>
    <w:div w:id="304235855">
      <w:bodyDiv w:val="1"/>
      <w:marLeft w:val="0"/>
      <w:marRight w:val="0"/>
      <w:marTop w:val="0"/>
      <w:marBottom w:val="0"/>
      <w:divBdr>
        <w:top w:val="none" w:sz="0" w:space="0" w:color="auto"/>
        <w:left w:val="none" w:sz="0" w:space="0" w:color="auto"/>
        <w:bottom w:val="none" w:sz="0" w:space="0" w:color="auto"/>
        <w:right w:val="none" w:sz="0" w:space="0" w:color="auto"/>
      </w:divBdr>
    </w:div>
    <w:div w:id="324624681">
      <w:bodyDiv w:val="1"/>
      <w:marLeft w:val="0"/>
      <w:marRight w:val="0"/>
      <w:marTop w:val="0"/>
      <w:marBottom w:val="0"/>
      <w:divBdr>
        <w:top w:val="none" w:sz="0" w:space="0" w:color="auto"/>
        <w:left w:val="none" w:sz="0" w:space="0" w:color="auto"/>
        <w:bottom w:val="none" w:sz="0" w:space="0" w:color="auto"/>
        <w:right w:val="none" w:sz="0" w:space="0" w:color="auto"/>
      </w:divBdr>
    </w:div>
    <w:div w:id="326057122">
      <w:bodyDiv w:val="1"/>
      <w:marLeft w:val="0"/>
      <w:marRight w:val="0"/>
      <w:marTop w:val="0"/>
      <w:marBottom w:val="0"/>
      <w:divBdr>
        <w:top w:val="none" w:sz="0" w:space="0" w:color="auto"/>
        <w:left w:val="none" w:sz="0" w:space="0" w:color="auto"/>
        <w:bottom w:val="none" w:sz="0" w:space="0" w:color="auto"/>
        <w:right w:val="none" w:sz="0" w:space="0" w:color="auto"/>
      </w:divBdr>
    </w:div>
    <w:div w:id="327102317">
      <w:bodyDiv w:val="1"/>
      <w:marLeft w:val="0"/>
      <w:marRight w:val="0"/>
      <w:marTop w:val="0"/>
      <w:marBottom w:val="0"/>
      <w:divBdr>
        <w:top w:val="none" w:sz="0" w:space="0" w:color="auto"/>
        <w:left w:val="none" w:sz="0" w:space="0" w:color="auto"/>
        <w:bottom w:val="none" w:sz="0" w:space="0" w:color="auto"/>
        <w:right w:val="none" w:sz="0" w:space="0" w:color="auto"/>
      </w:divBdr>
    </w:div>
    <w:div w:id="330571011">
      <w:bodyDiv w:val="1"/>
      <w:marLeft w:val="0"/>
      <w:marRight w:val="0"/>
      <w:marTop w:val="0"/>
      <w:marBottom w:val="0"/>
      <w:divBdr>
        <w:top w:val="none" w:sz="0" w:space="0" w:color="auto"/>
        <w:left w:val="none" w:sz="0" w:space="0" w:color="auto"/>
        <w:bottom w:val="none" w:sz="0" w:space="0" w:color="auto"/>
        <w:right w:val="none" w:sz="0" w:space="0" w:color="auto"/>
      </w:divBdr>
    </w:div>
    <w:div w:id="372735697">
      <w:bodyDiv w:val="1"/>
      <w:marLeft w:val="0"/>
      <w:marRight w:val="0"/>
      <w:marTop w:val="0"/>
      <w:marBottom w:val="0"/>
      <w:divBdr>
        <w:top w:val="none" w:sz="0" w:space="0" w:color="auto"/>
        <w:left w:val="none" w:sz="0" w:space="0" w:color="auto"/>
        <w:bottom w:val="none" w:sz="0" w:space="0" w:color="auto"/>
        <w:right w:val="none" w:sz="0" w:space="0" w:color="auto"/>
      </w:divBdr>
    </w:div>
    <w:div w:id="381368123">
      <w:bodyDiv w:val="1"/>
      <w:marLeft w:val="0"/>
      <w:marRight w:val="0"/>
      <w:marTop w:val="0"/>
      <w:marBottom w:val="0"/>
      <w:divBdr>
        <w:top w:val="none" w:sz="0" w:space="0" w:color="auto"/>
        <w:left w:val="none" w:sz="0" w:space="0" w:color="auto"/>
        <w:bottom w:val="none" w:sz="0" w:space="0" w:color="auto"/>
        <w:right w:val="none" w:sz="0" w:space="0" w:color="auto"/>
      </w:divBdr>
    </w:div>
    <w:div w:id="384184548">
      <w:bodyDiv w:val="1"/>
      <w:marLeft w:val="0"/>
      <w:marRight w:val="0"/>
      <w:marTop w:val="0"/>
      <w:marBottom w:val="0"/>
      <w:divBdr>
        <w:top w:val="none" w:sz="0" w:space="0" w:color="auto"/>
        <w:left w:val="none" w:sz="0" w:space="0" w:color="auto"/>
        <w:bottom w:val="none" w:sz="0" w:space="0" w:color="auto"/>
        <w:right w:val="none" w:sz="0" w:space="0" w:color="auto"/>
      </w:divBdr>
    </w:div>
    <w:div w:id="386495840">
      <w:bodyDiv w:val="1"/>
      <w:marLeft w:val="0"/>
      <w:marRight w:val="0"/>
      <w:marTop w:val="0"/>
      <w:marBottom w:val="0"/>
      <w:divBdr>
        <w:top w:val="none" w:sz="0" w:space="0" w:color="auto"/>
        <w:left w:val="none" w:sz="0" w:space="0" w:color="auto"/>
        <w:bottom w:val="none" w:sz="0" w:space="0" w:color="auto"/>
        <w:right w:val="none" w:sz="0" w:space="0" w:color="auto"/>
      </w:divBdr>
    </w:div>
    <w:div w:id="425926832">
      <w:bodyDiv w:val="1"/>
      <w:marLeft w:val="0"/>
      <w:marRight w:val="0"/>
      <w:marTop w:val="0"/>
      <w:marBottom w:val="0"/>
      <w:divBdr>
        <w:top w:val="none" w:sz="0" w:space="0" w:color="auto"/>
        <w:left w:val="none" w:sz="0" w:space="0" w:color="auto"/>
        <w:bottom w:val="none" w:sz="0" w:space="0" w:color="auto"/>
        <w:right w:val="none" w:sz="0" w:space="0" w:color="auto"/>
      </w:divBdr>
    </w:div>
    <w:div w:id="433597679">
      <w:bodyDiv w:val="1"/>
      <w:marLeft w:val="0"/>
      <w:marRight w:val="0"/>
      <w:marTop w:val="0"/>
      <w:marBottom w:val="0"/>
      <w:divBdr>
        <w:top w:val="none" w:sz="0" w:space="0" w:color="auto"/>
        <w:left w:val="none" w:sz="0" w:space="0" w:color="auto"/>
        <w:bottom w:val="none" w:sz="0" w:space="0" w:color="auto"/>
        <w:right w:val="none" w:sz="0" w:space="0" w:color="auto"/>
      </w:divBdr>
    </w:div>
    <w:div w:id="434908054">
      <w:bodyDiv w:val="1"/>
      <w:marLeft w:val="0"/>
      <w:marRight w:val="0"/>
      <w:marTop w:val="0"/>
      <w:marBottom w:val="0"/>
      <w:divBdr>
        <w:top w:val="none" w:sz="0" w:space="0" w:color="auto"/>
        <w:left w:val="none" w:sz="0" w:space="0" w:color="auto"/>
        <w:bottom w:val="none" w:sz="0" w:space="0" w:color="auto"/>
        <w:right w:val="none" w:sz="0" w:space="0" w:color="auto"/>
      </w:divBdr>
    </w:div>
    <w:div w:id="438647873">
      <w:bodyDiv w:val="1"/>
      <w:marLeft w:val="0"/>
      <w:marRight w:val="0"/>
      <w:marTop w:val="0"/>
      <w:marBottom w:val="0"/>
      <w:divBdr>
        <w:top w:val="none" w:sz="0" w:space="0" w:color="auto"/>
        <w:left w:val="none" w:sz="0" w:space="0" w:color="auto"/>
        <w:bottom w:val="none" w:sz="0" w:space="0" w:color="auto"/>
        <w:right w:val="none" w:sz="0" w:space="0" w:color="auto"/>
      </w:divBdr>
    </w:div>
    <w:div w:id="441920535">
      <w:bodyDiv w:val="1"/>
      <w:marLeft w:val="0"/>
      <w:marRight w:val="0"/>
      <w:marTop w:val="0"/>
      <w:marBottom w:val="0"/>
      <w:divBdr>
        <w:top w:val="none" w:sz="0" w:space="0" w:color="auto"/>
        <w:left w:val="none" w:sz="0" w:space="0" w:color="auto"/>
        <w:bottom w:val="none" w:sz="0" w:space="0" w:color="auto"/>
        <w:right w:val="none" w:sz="0" w:space="0" w:color="auto"/>
      </w:divBdr>
    </w:div>
    <w:div w:id="490097466">
      <w:bodyDiv w:val="1"/>
      <w:marLeft w:val="0"/>
      <w:marRight w:val="0"/>
      <w:marTop w:val="0"/>
      <w:marBottom w:val="0"/>
      <w:divBdr>
        <w:top w:val="none" w:sz="0" w:space="0" w:color="auto"/>
        <w:left w:val="none" w:sz="0" w:space="0" w:color="auto"/>
        <w:bottom w:val="none" w:sz="0" w:space="0" w:color="auto"/>
        <w:right w:val="none" w:sz="0" w:space="0" w:color="auto"/>
      </w:divBdr>
    </w:div>
    <w:div w:id="519701521">
      <w:bodyDiv w:val="1"/>
      <w:marLeft w:val="0"/>
      <w:marRight w:val="0"/>
      <w:marTop w:val="0"/>
      <w:marBottom w:val="0"/>
      <w:divBdr>
        <w:top w:val="none" w:sz="0" w:space="0" w:color="auto"/>
        <w:left w:val="none" w:sz="0" w:space="0" w:color="auto"/>
        <w:bottom w:val="none" w:sz="0" w:space="0" w:color="auto"/>
        <w:right w:val="none" w:sz="0" w:space="0" w:color="auto"/>
      </w:divBdr>
    </w:div>
    <w:div w:id="537670522">
      <w:bodyDiv w:val="1"/>
      <w:marLeft w:val="0"/>
      <w:marRight w:val="0"/>
      <w:marTop w:val="0"/>
      <w:marBottom w:val="0"/>
      <w:divBdr>
        <w:top w:val="none" w:sz="0" w:space="0" w:color="auto"/>
        <w:left w:val="none" w:sz="0" w:space="0" w:color="auto"/>
        <w:bottom w:val="none" w:sz="0" w:space="0" w:color="auto"/>
        <w:right w:val="none" w:sz="0" w:space="0" w:color="auto"/>
      </w:divBdr>
    </w:div>
    <w:div w:id="552279964">
      <w:bodyDiv w:val="1"/>
      <w:marLeft w:val="0"/>
      <w:marRight w:val="0"/>
      <w:marTop w:val="0"/>
      <w:marBottom w:val="0"/>
      <w:divBdr>
        <w:top w:val="none" w:sz="0" w:space="0" w:color="auto"/>
        <w:left w:val="none" w:sz="0" w:space="0" w:color="auto"/>
        <w:bottom w:val="none" w:sz="0" w:space="0" w:color="auto"/>
        <w:right w:val="none" w:sz="0" w:space="0" w:color="auto"/>
      </w:divBdr>
    </w:div>
    <w:div w:id="580069405">
      <w:bodyDiv w:val="1"/>
      <w:marLeft w:val="0"/>
      <w:marRight w:val="0"/>
      <w:marTop w:val="0"/>
      <w:marBottom w:val="0"/>
      <w:divBdr>
        <w:top w:val="none" w:sz="0" w:space="0" w:color="auto"/>
        <w:left w:val="none" w:sz="0" w:space="0" w:color="auto"/>
        <w:bottom w:val="none" w:sz="0" w:space="0" w:color="auto"/>
        <w:right w:val="none" w:sz="0" w:space="0" w:color="auto"/>
      </w:divBdr>
    </w:div>
    <w:div w:id="586622525">
      <w:bodyDiv w:val="1"/>
      <w:marLeft w:val="0"/>
      <w:marRight w:val="0"/>
      <w:marTop w:val="0"/>
      <w:marBottom w:val="0"/>
      <w:divBdr>
        <w:top w:val="none" w:sz="0" w:space="0" w:color="auto"/>
        <w:left w:val="none" w:sz="0" w:space="0" w:color="auto"/>
        <w:bottom w:val="none" w:sz="0" w:space="0" w:color="auto"/>
        <w:right w:val="none" w:sz="0" w:space="0" w:color="auto"/>
      </w:divBdr>
    </w:div>
    <w:div w:id="591739990">
      <w:bodyDiv w:val="1"/>
      <w:marLeft w:val="0"/>
      <w:marRight w:val="0"/>
      <w:marTop w:val="0"/>
      <w:marBottom w:val="0"/>
      <w:divBdr>
        <w:top w:val="none" w:sz="0" w:space="0" w:color="auto"/>
        <w:left w:val="none" w:sz="0" w:space="0" w:color="auto"/>
        <w:bottom w:val="none" w:sz="0" w:space="0" w:color="auto"/>
        <w:right w:val="none" w:sz="0" w:space="0" w:color="auto"/>
      </w:divBdr>
    </w:div>
    <w:div w:id="623579018">
      <w:bodyDiv w:val="1"/>
      <w:marLeft w:val="0"/>
      <w:marRight w:val="0"/>
      <w:marTop w:val="0"/>
      <w:marBottom w:val="0"/>
      <w:divBdr>
        <w:top w:val="none" w:sz="0" w:space="0" w:color="auto"/>
        <w:left w:val="none" w:sz="0" w:space="0" w:color="auto"/>
        <w:bottom w:val="none" w:sz="0" w:space="0" w:color="auto"/>
        <w:right w:val="none" w:sz="0" w:space="0" w:color="auto"/>
      </w:divBdr>
    </w:div>
    <w:div w:id="656611774">
      <w:bodyDiv w:val="1"/>
      <w:marLeft w:val="0"/>
      <w:marRight w:val="0"/>
      <w:marTop w:val="0"/>
      <w:marBottom w:val="0"/>
      <w:divBdr>
        <w:top w:val="none" w:sz="0" w:space="0" w:color="auto"/>
        <w:left w:val="none" w:sz="0" w:space="0" w:color="auto"/>
        <w:bottom w:val="none" w:sz="0" w:space="0" w:color="auto"/>
        <w:right w:val="none" w:sz="0" w:space="0" w:color="auto"/>
      </w:divBdr>
    </w:div>
    <w:div w:id="657921222">
      <w:bodyDiv w:val="1"/>
      <w:marLeft w:val="0"/>
      <w:marRight w:val="0"/>
      <w:marTop w:val="0"/>
      <w:marBottom w:val="0"/>
      <w:divBdr>
        <w:top w:val="none" w:sz="0" w:space="0" w:color="auto"/>
        <w:left w:val="none" w:sz="0" w:space="0" w:color="auto"/>
        <w:bottom w:val="none" w:sz="0" w:space="0" w:color="auto"/>
        <w:right w:val="none" w:sz="0" w:space="0" w:color="auto"/>
      </w:divBdr>
    </w:div>
    <w:div w:id="660739181">
      <w:bodyDiv w:val="1"/>
      <w:marLeft w:val="0"/>
      <w:marRight w:val="0"/>
      <w:marTop w:val="0"/>
      <w:marBottom w:val="0"/>
      <w:divBdr>
        <w:top w:val="none" w:sz="0" w:space="0" w:color="auto"/>
        <w:left w:val="none" w:sz="0" w:space="0" w:color="auto"/>
        <w:bottom w:val="none" w:sz="0" w:space="0" w:color="auto"/>
        <w:right w:val="none" w:sz="0" w:space="0" w:color="auto"/>
      </w:divBdr>
    </w:div>
    <w:div w:id="672605767">
      <w:bodyDiv w:val="1"/>
      <w:marLeft w:val="0"/>
      <w:marRight w:val="0"/>
      <w:marTop w:val="0"/>
      <w:marBottom w:val="0"/>
      <w:divBdr>
        <w:top w:val="none" w:sz="0" w:space="0" w:color="auto"/>
        <w:left w:val="none" w:sz="0" w:space="0" w:color="auto"/>
        <w:bottom w:val="none" w:sz="0" w:space="0" w:color="auto"/>
        <w:right w:val="none" w:sz="0" w:space="0" w:color="auto"/>
      </w:divBdr>
    </w:div>
    <w:div w:id="685252860">
      <w:bodyDiv w:val="1"/>
      <w:marLeft w:val="0"/>
      <w:marRight w:val="0"/>
      <w:marTop w:val="0"/>
      <w:marBottom w:val="0"/>
      <w:divBdr>
        <w:top w:val="none" w:sz="0" w:space="0" w:color="auto"/>
        <w:left w:val="none" w:sz="0" w:space="0" w:color="auto"/>
        <w:bottom w:val="none" w:sz="0" w:space="0" w:color="auto"/>
        <w:right w:val="none" w:sz="0" w:space="0" w:color="auto"/>
      </w:divBdr>
    </w:div>
    <w:div w:id="705301957">
      <w:bodyDiv w:val="1"/>
      <w:marLeft w:val="0"/>
      <w:marRight w:val="0"/>
      <w:marTop w:val="0"/>
      <w:marBottom w:val="0"/>
      <w:divBdr>
        <w:top w:val="none" w:sz="0" w:space="0" w:color="auto"/>
        <w:left w:val="none" w:sz="0" w:space="0" w:color="auto"/>
        <w:bottom w:val="none" w:sz="0" w:space="0" w:color="auto"/>
        <w:right w:val="none" w:sz="0" w:space="0" w:color="auto"/>
      </w:divBdr>
    </w:div>
    <w:div w:id="732243146">
      <w:bodyDiv w:val="1"/>
      <w:marLeft w:val="0"/>
      <w:marRight w:val="0"/>
      <w:marTop w:val="0"/>
      <w:marBottom w:val="0"/>
      <w:divBdr>
        <w:top w:val="none" w:sz="0" w:space="0" w:color="auto"/>
        <w:left w:val="none" w:sz="0" w:space="0" w:color="auto"/>
        <w:bottom w:val="none" w:sz="0" w:space="0" w:color="auto"/>
        <w:right w:val="none" w:sz="0" w:space="0" w:color="auto"/>
      </w:divBdr>
    </w:div>
    <w:div w:id="738211218">
      <w:bodyDiv w:val="1"/>
      <w:marLeft w:val="0"/>
      <w:marRight w:val="0"/>
      <w:marTop w:val="0"/>
      <w:marBottom w:val="0"/>
      <w:divBdr>
        <w:top w:val="none" w:sz="0" w:space="0" w:color="auto"/>
        <w:left w:val="none" w:sz="0" w:space="0" w:color="auto"/>
        <w:bottom w:val="none" w:sz="0" w:space="0" w:color="auto"/>
        <w:right w:val="none" w:sz="0" w:space="0" w:color="auto"/>
      </w:divBdr>
    </w:div>
    <w:div w:id="825434306">
      <w:bodyDiv w:val="1"/>
      <w:marLeft w:val="0"/>
      <w:marRight w:val="0"/>
      <w:marTop w:val="0"/>
      <w:marBottom w:val="0"/>
      <w:divBdr>
        <w:top w:val="none" w:sz="0" w:space="0" w:color="auto"/>
        <w:left w:val="none" w:sz="0" w:space="0" w:color="auto"/>
        <w:bottom w:val="none" w:sz="0" w:space="0" w:color="auto"/>
        <w:right w:val="none" w:sz="0" w:space="0" w:color="auto"/>
      </w:divBdr>
    </w:div>
    <w:div w:id="849487922">
      <w:bodyDiv w:val="1"/>
      <w:marLeft w:val="0"/>
      <w:marRight w:val="0"/>
      <w:marTop w:val="0"/>
      <w:marBottom w:val="0"/>
      <w:divBdr>
        <w:top w:val="none" w:sz="0" w:space="0" w:color="auto"/>
        <w:left w:val="none" w:sz="0" w:space="0" w:color="auto"/>
        <w:bottom w:val="none" w:sz="0" w:space="0" w:color="auto"/>
        <w:right w:val="none" w:sz="0" w:space="0" w:color="auto"/>
      </w:divBdr>
    </w:div>
    <w:div w:id="857504986">
      <w:bodyDiv w:val="1"/>
      <w:marLeft w:val="0"/>
      <w:marRight w:val="0"/>
      <w:marTop w:val="0"/>
      <w:marBottom w:val="0"/>
      <w:divBdr>
        <w:top w:val="none" w:sz="0" w:space="0" w:color="auto"/>
        <w:left w:val="none" w:sz="0" w:space="0" w:color="auto"/>
        <w:bottom w:val="none" w:sz="0" w:space="0" w:color="auto"/>
        <w:right w:val="none" w:sz="0" w:space="0" w:color="auto"/>
      </w:divBdr>
    </w:div>
    <w:div w:id="860319639">
      <w:bodyDiv w:val="1"/>
      <w:marLeft w:val="0"/>
      <w:marRight w:val="0"/>
      <w:marTop w:val="0"/>
      <w:marBottom w:val="0"/>
      <w:divBdr>
        <w:top w:val="none" w:sz="0" w:space="0" w:color="auto"/>
        <w:left w:val="none" w:sz="0" w:space="0" w:color="auto"/>
        <w:bottom w:val="none" w:sz="0" w:space="0" w:color="auto"/>
        <w:right w:val="none" w:sz="0" w:space="0" w:color="auto"/>
      </w:divBdr>
    </w:div>
    <w:div w:id="896747958">
      <w:bodyDiv w:val="1"/>
      <w:marLeft w:val="0"/>
      <w:marRight w:val="0"/>
      <w:marTop w:val="0"/>
      <w:marBottom w:val="0"/>
      <w:divBdr>
        <w:top w:val="none" w:sz="0" w:space="0" w:color="auto"/>
        <w:left w:val="none" w:sz="0" w:space="0" w:color="auto"/>
        <w:bottom w:val="none" w:sz="0" w:space="0" w:color="auto"/>
        <w:right w:val="none" w:sz="0" w:space="0" w:color="auto"/>
      </w:divBdr>
    </w:div>
    <w:div w:id="951785123">
      <w:bodyDiv w:val="1"/>
      <w:marLeft w:val="0"/>
      <w:marRight w:val="0"/>
      <w:marTop w:val="0"/>
      <w:marBottom w:val="0"/>
      <w:divBdr>
        <w:top w:val="none" w:sz="0" w:space="0" w:color="auto"/>
        <w:left w:val="none" w:sz="0" w:space="0" w:color="auto"/>
        <w:bottom w:val="none" w:sz="0" w:space="0" w:color="auto"/>
        <w:right w:val="none" w:sz="0" w:space="0" w:color="auto"/>
      </w:divBdr>
    </w:div>
    <w:div w:id="983899333">
      <w:bodyDiv w:val="1"/>
      <w:marLeft w:val="0"/>
      <w:marRight w:val="0"/>
      <w:marTop w:val="0"/>
      <w:marBottom w:val="0"/>
      <w:divBdr>
        <w:top w:val="none" w:sz="0" w:space="0" w:color="auto"/>
        <w:left w:val="none" w:sz="0" w:space="0" w:color="auto"/>
        <w:bottom w:val="none" w:sz="0" w:space="0" w:color="auto"/>
        <w:right w:val="none" w:sz="0" w:space="0" w:color="auto"/>
      </w:divBdr>
    </w:div>
    <w:div w:id="1022979184">
      <w:bodyDiv w:val="1"/>
      <w:marLeft w:val="0"/>
      <w:marRight w:val="0"/>
      <w:marTop w:val="0"/>
      <w:marBottom w:val="0"/>
      <w:divBdr>
        <w:top w:val="none" w:sz="0" w:space="0" w:color="auto"/>
        <w:left w:val="none" w:sz="0" w:space="0" w:color="auto"/>
        <w:bottom w:val="none" w:sz="0" w:space="0" w:color="auto"/>
        <w:right w:val="none" w:sz="0" w:space="0" w:color="auto"/>
      </w:divBdr>
    </w:div>
    <w:div w:id="1030569605">
      <w:bodyDiv w:val="1"/>
      <w:marLeft w:val="0"/>
      <w:marRight w:val="0"/>
      <w:marTop w:val="0"/>
      <w:marBottom w:val="0"/>
      <w:divBdr>
        <w:top w:val="none" w:sz="0" w:space="0" w:color="auto"/>
        <w:left w:val="none" w:sz="0" w:space="0" w:color="auto"/>
        <w:bottom w:val="none" w:sz="0" w:space="0" w:color="auto"/>
        <w:right w:val="none" w:sz="0" w:space="0" w:color="auto"/>
      </w:divBdr>
    </w:div>
    <w:div w:id="1032875108">
      <w:bodyDiv w:val="1"/>
      <w:marLeft w:val="0"/>
      <w:marRight w:val="0"/>
      <w:marTop w:val="0"/>
      <w:marBottom w:val="0"/>
      <w:divBdr>
        <w:top w:val="none" w:sz="0" w:space="0" w:color="auto"/>
        <w:left w:val="none" w:sz="0" w:space="0" w:color="auto"/>
        <w:bottom w:val="none" w:sz="0" w:space="0" w:color="auto"/>
        <w:right w:val="none" w:sz="0" w:space="0" w:color="auto"/>
      </w:divBdr>
    </w:div>
    <w:div w:id="1065374356">
      <w:bodyDiv w:val="1"/>
      <w:marLeft w:val="0"/>
      <w:marRight w:val="0"/>
      <w:marTop w:val="0"/>
      <w:marBottom w:val="0"/>
      <w:divBdr>
        <w:top w:val="none" w:sz="0" w:space="0" w:color="auto"/>
        <w:left w:val="none" w:sz="0" w:space="0" w:color="auto"/>
        <w:bottom w:val="none" w:sz="0" w:space="0" w:color="auto"/>
        <w:right w:val="none" w:sz="0" w:space="0" w:color="auto"/>
      </w:divBdr>
    </w:div>
    <w:div w:id="1082334380">
      <w:bodyDiv w:val="1"/>
      <w:marLeft w:val="0"/>
      <w:marRight w:val="0"/>
      <w:marTop w:val="0"/>
      <w:marBottom w:val="0"/>
      <w:divBdr>
        <w:top w:val="none" w:sz="0" w:space="0" w:color="auto"/>
        <w:left w:val="none" w:sz="0" w:space="0" w:color="auto"/>
        <w:bottom w:val="none" w:sz="0" w:space="0" w:color="auto"/>
        <w:right w:val="none" w:sz="0" w:space="0" w:color="auto"/>
      </w:divBdr>
    </w:div>
    <w:div w:id="1085342937">
      <w:bodyDiv w:val="1"/>
      <w:marLeft w:val="0"/>
      <w:marRight w:val="0"/>
      <w:marTop w:val="0"/>
      <w:marBottom w:val="0"/>
      <w:divBdr>
        <w:top w:val="none" w:sz="0" w:space="0" w:color="auto"/>
        <w:left w:val="none" w:sz="0" w:space="0" w:color="auto"/>
        <w:bottom w:val="none" w:sz="0" w:space="0" w:color="auto"/>
        <w:right w:val="none" w:sz="0" w:space="0" w:color="auto"/>
      </w:divBdr>
    </w:div>
    <w:div w:id="1136071810">
      <w:bodyDiv w:val="1"/>
      <w:marLeft w:val="0"/>
      <w:marRight w:val="0"/>
      <w:marTop w:val="0"/>
      <w:marBottom w:val="0"/>
      <w:divBdr>
        <w:top w:val="none" w:sz="0" w:space="0" w:color="auto"/>
        <w:left w:val="none" w:sz="0" w:space="0" w:color="auto"/>
        <w:bottom w:val="none" w:sz="0" w:space="0" w:color="auto"/>
        <w:right w:val="none" w:sz="0" w:space="0" w:color="auto"/>
      </w:divBdr>
    </w:div>
    <w:div w:id="1145271587">
      <w:bodyDiv w:val="1"/>
      <w:marLeft w:val="0"/>
      <w:marRight w:val="0"/>
      <w:marTop w:val="0"/>
      <w:marBottom w:val="0"/>
      <w:divBdr>
        <w:top w:val="none" w:sz="0" w:space="0" w:color="auto"/>
        <w:left w:val="none" w:sz="0" w:space="0" w:color="auto"/>
        <w:bottom w:val="none" w:sz="0" w:space="0" w:color="auto"/>
        <w:right w:val="none" w:sz="0" w:space="0" w:color="auto"/>
      </w:divBdr>
    </w:div>
    <w:div w:id="1189216336">
      <w:bodyDiv w:val="1"/>
      <w:marLeft w:val="0"/>
      <w:marRight w:val="0"/>
      <w:marTop w:val="0"/>
      <w:marBottom w:val="0"/>
      <w:divBdr>
        <w:top w:val="none" w:sz="0" w:space="0" w:color="auto"/>
        <w:left w:val="none" w:sz="0" w:space="0" w:color="auto"/>
        <w:bottom w:val="none" w:sz="0" w:space="0" w:color="auto"/>
        <w:right w:val="none" w:sz="0" w:space="0" w:color="auto"/>
      </w:divBdr>
    </w:div>
    <w:div w:id="1216771621">
      <w:bodyDiv w:val="1"/>
      <w:marLeft w:val="0"/>
      <w:marRight w:val="0"/>
      <w:marTop w:val="0"/>
      <w:marBottom w:val="0"/>
      <w:divBdr>
        <w:top w:val="none" w:sz="0" w:space="0" w:color="auto"/>
        <w:left w:val="none" w:sz="0" w:space="0" w:color="auto"/>
        <w:bottom w:val="none" w:sz="0" w:space="0" w:color="auto"/>
        <w:right w:val="none" w:sz="0" w:space="0" w:color="auto"/>
      </w:divBdr>
    </w:div>
    <w:div w:id="1224369284">
      <w:bodyDiv w:val="1"/>
      <w:marLeft w:val="0"/>
      <w:marRight w:val="0"/>
      <w:marTop w:val="0"/>
      <w:marBottom w:val="0"/>
      <w:divBdr>
        <w:top w:val="none" w:sz="0" w:space="0" w:color="auto"/>
        <w:left w:val="none" w:sz="0" w:space="0" w:color="auto"/>
        <w:bottom w:val="none" w:sz="0" w:space="0" w:color="auto"/>
        <w:right w:val="none" w:sz="0" w:space="0" w:color="auto"/>
      </w:divBdr>
    </w:div>
    <w:div w:id="1230963547">
      <w:bodyDiv w:val="1"/>
      <w:marLeft w:val="0"/>
      <w:marRight w:val="0"/>
      <w:marTop w:val="0"/>
      <w:marBottom w:val="0"/>
      <w:divBdr>
        <w:top w:val="none" w:sz="0" w:space="0" w:color="auto"/>
        <w:left w:val="none" w:sz="0" w:space="0" w:color="auto"/>
        <w:bottom w:val="none" w:sz="0" w:space="0" w:color="auto"/>
        <w:right w:val="none" w:sz="0" w:space="0" w:color="auto"/>
      </w:divBdr>
    </w:div>
    <w:div w:id="1241409255">
      <w:bodyDiv w:val="1"/>
      <w:marLeft w:val="0"/>
      <w:marRight w:val="0"/>
      <w:marTop w:val="0"/>
      <w:marBottom w:val="0"/>
      <w:divBdr>
        <w:top w:val="none" w:sz="0" w:space="0" w:color="auto"/>
        <w:left w:val="none" w:sz="0" w:space="0" w:color="auto"/>
        <w:bottom w:val="none" w:sz="0" w:space="0" w:color="auto"/>
        <w:right w:val="none" w:sz="0" w:space="0" w:color="auto"/>
      </w:divBdr>
    </w:div>
    <w:div w:id="1271551063">
      <w:bodyDiv w:val="1"/>
      <w:marLeft w:val="0"/>
      <w:marRight w:val="0"/>
      <w:marTop w:val="0"/>
      <w:marBottom w:val="0"/>
      <w:divBdr>
        <w:top w:val="none" w:sz="0" w:space="0" w:color="auto"/>
        <w:left w:val="none" w:sz="0" w:space="0" w:color="auto"/>
        <w:bottom w:val="none" w:sz="0" w:space="0" w:color="auto"/>
        <w:right w:val="none" w:sz="0" w:space="0" w:color="auto"/>
      </w:divBdr>
    </w:div>
    <w:div w:id="1318025350">
      <w:bodyDiv w:val="1"/>
      <w:marLeft w:val="0"/>
      <w:marRight w:val="0"/>
      <w:marTop w:val="0"/>
      <w:marBottom w:val="0"/>
      <w:divBdr>
        <w:top w:val="none" w:sz="0" w:space="0" w:color="auto"/>
        <w:left w:val="none" w:sz="0" w:space="0" w:color="auto"/>
        <w:bottom w:val="none" w:sz="0" w:space="0" w:color="auto"/>
        <w:right w:val="none" w:sz="0" w:space="0" w:color="auto"/>
      </w:divBdr>
    </w:div>
    <w:div w:id="1340623119">
      <w:bodyDiv w:val="1"/>
      <w:marLeft w:val="0"/>
      <w:marRight w:val="0"/>
      <w:marTop w:val="0"/>
      <w:marBottom w:val="0"/>
      <w:divBdr>
        <w:top w:val="none" w:sz="0" w:space="0" w:color="auto"/>
        <w:left w:val="none" w:sz="0" w:space="0" w:color="auto"/>
        <w:bottom w:val="none" w:sz="0" w:space="0" w:color="auto"/>
        <w:right w:val="none" w:sz="0" w:space="0" w:color="auto"/>
      </w:divBdr>
    </w:div>
    <w:div w:id="1393236384">
      <w:bodyDiv w:val="1"/>
      <w:marLeft w:val="0"/>
      <w:marRight w:val="0"/>
      <w:marTop w:val="0"/>
      <w:marBottom w:val="0"/>
      <w:divBdr>
        <w:top w:val="none" w:sz="0" w:space="0" w:color="auto"/>
        <w:left w:val="none" w:sz="0" w:space="0" w:color="auto"/>
        <w:bottom w:val="none" w:sz="0" w:space="0" w:color="auto"/>
        <w:right w:val="none" w:sz="0" w:space="0" w:color="auto"/>
      </w:divBdr>
    </w:div>
    <w:div w:id="1405951389">
      <w:bodyDiv w:val="1"/>
      <w:marLeft w:val="0"/>
      <w:marRight w:val="0"/>
      <w:marTop w:val="0"/>
      <w:marBottom w:val="0"/>
      <w:divBdr>
        <w:top w:val="none" w:sz="0" w:space="0" w:color="auto"/>
        <w:left w:val="none" w:sz="0" w:space="0" w:color="auto"/>
        <w:bottom w:val="none" w:sz="0" w:space="0" w:color="auto"/>
        <w:right w:val="none" w:sz="0" w:space="0" w:color="auto"/>
      </w:divBdr>
    </w:div>
    <w:div w:id="1481192406">
      <w:bodyDiv w:val="1"/>
      <w:marLeft w:val="0"/>
      <w:marRight w:val="0"/>
      <w:marTop w:val="0"/>
      <w:marBottom w:val="0"/>
      <w:divBdr>
        <w:top w:val="none" w:sz="0" w:space="0" w:color="auto"/>
        <w:left w:val="none" w:sz="0" w:space="0" w:color="auto"/>
        <w:bottom w:val="none" w:sz="0" w:space="0" w:color="auto"/>
        <w:right w:val="none" w:sz="0" w:space="0" w:color="auto"/>
      </w:divBdr>
    </w:div>
    <w:div w:id="1528518001">
      <w:bodyDiv w:val="1"/>
      <w:marLeft w:val="0"/>
      <w:marRight w:val="0"/>
      <w:marTop w:val="0"/>
      <w:marBottom w:val="0"/>
      <w:divBdr>
        <w:top w:val="none" w:sz="0" w:space="0" w:color="auto"/>
        <w:left w:val="none" w:sz="0" w:space="0" w:color="auto"/>
        <w:bottom w:val="none" w:sz="0" w:space="0" w:color="auto"/>
        <w:right w:val="none" w:sz="0" w:space="0" w:color="auto"/>
      </w:divBdr>
    </w:div>
    <w:div w:id="1544752653">
      <w:bodyDiv w:val="1"/>
      <w:marLeft w:val="0"/>
      <w:marRight w:val="0"/>
      <w:marTop w:val="0"/>
      <w:marBottom w:val="0"/>
      <w:divBdr>
        <w:top w:val="none" w:sz="0" w:space="0" w:color="auto"/>
        <w:left w:val="none" w:sz="0" w:space="0" w:color="auto"/>
        <w:bottom w:val="none" w:sz="0" w:space="0" w:color="auto"/>
        <w:right w:val="none" w:sz="0" w:space="0" w:color="auto"/>
      </w:divBdr>
    </w:div>
    <w:div w:id="1550721437">
      <w:bodyDiv w:val="1"/>
      <w:marLeft w:val="0"/>
      <w:marRight w:val="0"/>
      <w:marTop w:val="0"/>
      <w:marBottom w:val="0"/>
      <w:divBdr>
        <w:top w:val="none" w:sz="0" w:space="0" w:color="auto"/>
        <w:left w:val="none" w:sz="0" w:space="0" w:color="auto"/>
        <w:bottom w:val="none" w:sz="0" w:space="0" w:color="auto"/>
        <w:right w:val="none" w:sz="0" w:space="0" w:color="auto"/>
      </w:divBdr>
    </w:div>
    <w:div w:id="1565138233">
      <w:bodyDiv w:val="1"/>
      <w:marLeft w:val="0"/>
      <w:marRight w:val="0"/>
      <w:marTop w:val="0"/>
      <w:marBottom w:val="0"/>
      <w:divBdr>
        <w:top w:val="none" w:sz="0" w:space="0" w:color="auto"/>
        <w:left w:val="none" w:sz="0" w:space="0" w:color="auto"/>
        <w:bottom w:val="none" w:sz="0" w:space="0" w:color="auto"/>
        <w:right w:val="none" w:sz="0" w:space="0" w:color="auto"/>
      </w:divBdr>
    </w:div>
    <w:div w:id="1576237767">
      <w:bodyDiv w:val="1"/>
      <w:marLeft w:val="0"/>
      <w:marRight w:val="0"/>
      <w:marTop w:val="0"/>
      <w:marBottom w:val="0"/>
      <w:divBdr>
        <w:top w:val="none" w:sz="0" w:space="0" w:color="auto"/>
        <w:left w:val="none" w:sz="0" w:space="0" w:color="auto"/>
        <w:bottom w:val="none" w:sz="0" w:space="0" w:color="auto"/>
        <w:right w:val="none" w:sz="0" w:space="0" w:color="auto"/>
      </w:divBdr>
    </w:div>
    <w:div w:id="1610509606">
      <w:bodyDiv w:val="1"/>
      <w:marLeft w:val="0"/>
      <w:marRight w:val="0"/>
      <w:marTop w:val="0"/>
      <w:marBottom w:val="0"/>
      <w:divBdr>
        <w:top w:val="none" w:sz="0" w:space="0" w:color="auto"/>
        <w:left w:val="none" w:sz="0" w:space="0" w:color="auto"/>
        <w:bottom w:val="none" w:sz="0" w:space="0" w:color="auto"/>
        <w:right w:val="none" w:sz="0" w:space="0" w:color="auto"/>
      </w:divBdr>
    </w:div>
    <w:div w:id="1622492636">
      <w:bodyDiv w:val="1"/>
      <w:marLeft w:val="0"/>
      <w:marRight w:val="0"/>
      <w:marTop w:val="0"/>
      <w:marBottom w:val="0"/>
      <w:divBdr>
        <w:top w:val="none" w:sz="0" w:space="0" w:color="auto"/>
        <w:left w:val="none" w:sz="0" w:space="0" w:color="auto"/>
        <w:bottom w:val="none" w:sz="0" w:space="0" w:color="auto"/>
        <w:right w:val="none" w:sz="0" w:space="0" w:color="auto"/>
      </w:divBdr>
    </w:div>
    <w:div w:id="1632858567">
      <w:bodyDiv w:val="1"/>
      <w:marLeft w:val="0"/>
      <w:marRight w:val="0"/>
      <w:marTop w:val="0"/>
      <w:marBottom w:val="0"/>
      <w:divBdr>
        <w:top w:val="none" w:sz="0" w:space="0" w:color="auto"/>
        <w:left w:val="none" w:sz="0" w:space="0" w:color="auto"/>
        <w:bottom w:val="none" w:sz="0" w:space="0" w:color="auto"/>
        <w:right w:val="none" w:sz="0" w:space="0" w:color="auto"/>
      </w:divBdr>
    </w:div>
    <w:div w:id="1636519037">
      <w:bodyDiv w:val="1"/>
      <w:marLeft w:val="0"/>
      <w:marRight w:val="0"/>
      <w:marTop w:val="0"/>
      <w:marBottom w:val="0"/>
      <w:divBdr>
        <w:top w:val="none" w:sz="0" w:space="0" w:color="auto"/>
        <w:left w:val="none" w:sz="0" w:space="0" w:color="auto"/>
        <w:bottom w:val="none" w:sz="0" w:space="0" w:color="auto"/>
        <w:right w:val="none" w:sz="0" w:space="0" w:color="auto"/>
      </w:divBdr>
    </w:div>
    <w:div w:id="1649433794">
      <w:bodyDiv w:val="1"/>
      <w:marLeft w:val="0"/>
      <w:marRight w:val="0"/>
      <w:marTop w:val="0"/>
      <w:marBottom w:val="0"/>
      <w:divBdr>
        <w:top w:val="none" w:sz="0" w:space="0" w:color="auto"/>
        <w:left w:val="none" w:sz="0" w:space="0" w:color="auto"/>
        <w:bottom w:val="none" w:sz="0" w:space="0" w:color="auto"/>
        <w:right w:val="none" w:sz="0" w:space="0" w:color="auto"/>
      </w:divBdr>
    </w:div>
    <w:div w:id="1692686063">
      <w:bodyDiv w:val="1"/>
      <w:marLeft w:val="0"/>
      <w:marRight w:val="0"/>
      <w:marTop w:val="0"/>
      <w:marBottom w:val="0"/>
      <w:divBdr>
        <w:top w:val="none" w:sz="0" w:space="0" w:color="auto"/>
        <w:left w:val="none" w:sz="0" w:space="0" w:color="auto"/>
        <w:bottom w:val="none" w:sz="0" w:space="0" w:color="auto"/>
        <w:right w:val="none" w:sz="0" w:space="0" w:color="auto"/>
      </w:divBdr>
    </w:div>
    <w:div w:id="1693146060">
      <w:bodyDiv w:val="1"/>
      <w:marLeft w:val="0"/>
      <w:marRight w:val="0"/>
      <w:marTop w:val="0"/>
      <w:marBottom w:val="0"/>
      <w:divBdr>
        <w:top w:val="none" w:sz="0" w:space="0" w:color="auto"/>
        <w:left w:val="none" w:sz="0" w:space="0" w:color="auto"/>
        <w:bottom w:val="none" w:sz="0" w:space="0" w:color="auto"/>
        <w:right w:val="none" w:sz="0" w:space="0" w:color="auto"/>
      </w:divBdr>
    </w:div>
    <w:div w:id="1712488397">
      <w:bodyDiv w:val="1"/>
      <w:marLeft w:val="0"/>
      <w:marRight w:val="0"/>
      <w:marTop w:val="0"/>
      <w:marBottom w:val="0"/>
      <w:divBdr>
        <w:top w:val="none" w:sz="0" w:space="0" w:color="auto"/>
        <w:left w:val="none" w:sz="0" w:space="0" w:color="auto"/>
        <w:bottom w:val="none" w:sz="0" w:space="0" w:color="auto"/>
        <w:right w:val="none" w:sz="0" w:space="0" w:color="auto"/>
      </w:divBdr>
    </w:div>
    <w:div w:id="1733432061">
      <w:bodyDiv w:val="1"/>
      <w:marLeft w:val="0"/>
      <w:marRight w:val="0"/>
      <w:marTop w:val="0"/>
      <w:marBottom w:val="0"/>
      <w:divBdr>
        <w:top w:val="none" w:sz="0" w:space="0" w:color="auto"/>
        <w:left w:val="none" w:sz="0" w:space="0" w:color="auto"/>
        <w:bottom w:val="none" w:sz="0" w:space="0" w:color="auto"/>
        <w:right w:val="none" w:sz="0" w:space="0" w:color="auto"/>
      </w:divBdr>
    </w:div>
    <w:div w:id="1761755149">
      <w:bodyDiv w:val="1"/>
      <w:marLeft w:val="0"/>
      <w:marRight w:val="0"/>
      <w:marTop w:val="0"/>
      <w:marBottom w:val="0"/>
      <w:divBdr>
        <w:top w:val="none" w:sz="0" w:space="0" w:color="auto"/>
        <w:left w:val="none" w:sz="0" w:space="0" w:color="auto"/>
        <w:bottom w:val="none" w:sz="0" w:space="0" w:color="auto"/>
        <w:right w:val="none" w:sz="0" w:space="0" w:color="auto"/>
      </w:divBdr>
    </w:div>
    <w:div w:id="1827088797">
      <w:bodyDiv w:val="1"/>
      <w:marLeft w:val="0"/>
      <w:marRight w:val="0"/>
      <w:marTop w:val="0"/>
      <w:marBottom w:val="0"/>
      <w:divBdr>
        <w:top w:val="none" w:sz="0" w:space="0" w:color="auto"/>
        <w:left w:val="none" w:sz="0" w:space="0" w:color="auto"/>
        <w:bottom w:val="none" w:sz="0" w:space="0" w:color="auto"/>
        <w:right w:val="none" w:sz="0" w:space="0" w:color="auto"/>
      </w:divBdr>
    </w:div>
    <w:div w:id="1850220925">
      <w:bodyDiv w:val="1"/>
      <w:marLeft w:val="0"/>
      <w:marRight w:val="0"/>
      <w:marTop w:val="0"/>
      <w:marBottom w:val="0"/>
      <w:divBdr>
        <w:top w:val="none" w:sz="0" w:space="0" w:color="auto"/>
        <w:left w:val="none" w:sz="0" w:space="0" w:color="auto"/>
        <w:bottom w:val="none" w:sz="0" w:space="0" w:color="auto"/>
        <w:right w:val="none" w:sz="0" w:space="0" w:color="auto"/>
      </w:divBdr>
    </w:div>
    <w:div w:id="1853882393">
      <w:bodyDiv w:val="1"/>
      <w:marLeft w:val="0"/>
      <w:marRight w:val="0"/>
      <w:marTop w:val="0"/>
      <w:marBottom w:val="0"/>
      <w:divBdr>
        <w:top w:val="none" w:sz="0" w:space="0" w:color="auto"/>
        <w:left w:val="none" w:sz="0" w:space="0" w:color="auto"/>
        <w:bottom w:val="none" w:sz="0" w:space="0" w:color="auto"/>
        <w:right w:val="none" w:sz="0" w:space="0" w:color="auto"/>
      </w:divBdr>
    </w:div>
    <w:div w:id="1866287511">
      <w:bodyDiv w:val="1"/>
      <w:marLeft w:val="0"/>
      <w:marRight w:val="0"/>
      <w:marTop w:val="0"/>
      <w:marBottom w:val="0"/>
      <w:divBdr>
        <w:top w:val="none" w:sz="0" w:space="0" w:color="auto"/>
        <w:left w:val="none" w:sz="0" w:space="0" w:color="auto"/>
        <w:bottom w:val="none" w:sz="0" w:space="0" w:color="auto"/>
        <w:right w:val="none" w:sz="0" w:space="0" w:color="auto"/>
      </w:divBdr>
    </w:div>
    <w:div w:id="1883444377">
      <w:bodyDiv w:val="1"/>
      <w:marLeft w:val="0"/>
      <w:marRight w:val="0"/>
      <w:marTop w:val="0"/>
      <w:marBottom w:val="0"/>
      <w:divBdr>
        <w:top w:val="none" w:sz="0" w:space="0" w:color="auto"/>
        <w:left w:val="none" w:sz="0" w:space="0" w:color="auto"/>
        <w:bottom w:val="none" w:sz="0" w:space="0" w:color="auto"/>
        <w:right w:val="none" w:sz="0" w:space="0" w:color="auto"/>
      </w:divBdr>
    </w:div>
    <w:div w:id="1895461200">
      <w:bodyDiv w:val="1"/>
      <w:marLeft w:val="0"/>
      <w:marRight w:val="0"/>
      <w:marTop w:val="0"/>
      <w:marBottom w:val="0"/>
      <w:divBdr>
        <w:top w:val="none" w:sz="0" w:space="0" w:color="auto"/>
        <w:left w:val="none" w:sz="0" w:space="0" w:color="auto"/>
        <w:bottom w:val="none" w:sz="0" w:space="0" w:color="auto"/>
        <w:right w:val="none" w:sz="0" w:space="0" w:color="auto"/>
      </w:divBdr>
    </w:div>
    <w:div w:id="1897742333">
      <w:bodyDiv w:val="1"/>
      <w:marLeft w:val="0"/>
      <w:marRight w:val="0"/>
      <w:marTop w:val="0"/>
      <w:marBottom w:val="0"/>
      <w:divBdr>
        <w:top w:val="none" w:sz="0" w:space="0" w:color="auto"/>
        <w:left w:val="none" w:sz="0" w:space="0" w:color="auto"/>
        <w:bottom w:val="none" w:sz="0" w:space="0" w:color="auto"/>
        <w:right w:val="none" w:sz="0" w:space="0" w:color="auto"/>
      </w:divBdr>
    </w:div>
    <w:div w:id="1953126111">
      <w:bodyDiv w:val="1"/>
      <w:marLeft w:val="0"/>
      <w:marRight w:val="0"/>
      <w:marTop w:val="0"/>
      <w:marBottom w:val="0"/>
      <w:divBdr>
        <w:top w:val="none" w:sz="0" w:space="0" w:color="auto"/>
        <w:left w:val="none" w:sz="0" w:space="0" w:color="auto"/>
        <w:bottom w:val="none" w:sz="0" w:space="0" w:color="auto"/>
        <w:right w:val="none" w:sz="0" w:space="0" w:color="auto"/>
      </w:divBdr>
    </w:div>
    <w:div w:id="1955399885">
      <w:bodyDiv w:val="1"/>
      <w:marLeft w:val="0"/>
      <w:marRight w:val="0"/>
      <w:marTop w:val="0"/>
      <w:marBottom w:val="0"/>
      <w:divBdr>
        <w:top w:val="none" w:sz="0" w:space="0" w:color="auto"/>
        <w:left w:val="none" w:sz="0" w:space="0" w:color="auto"/>
        <w:bottom w:val="none" w:sz="0" w:space="0" w:color="auto"/>
        <w:right w:val="none" w:sz="0" w:space="0" w:color="auto"/>
      </w:divBdr>
    </w:div>
    <w:div w:id="1994597886">
      <w:bodyDiv w:val="1"/>
      <w:marLeft w:val="0"/>
      <w:marRight w:val="0"/>
      <w:marTop w:val="0"/>
      <w:marBottom w:val="0"/>
      <w:divBdr>
        <w:top w:val="none" w:sz="0" w:space="0" w:color="auto"/>
        <w:left w:val="none" w:sz="0" w:space="0" w:color="auto"/>
        <w:bottom w:val="none" w:sz="0" w:space="0" w:color="auto"/>
        <w:right w:val="none" w:sz="0" w:space="0" w:color="auto"/>
      </w:divBdr>
    </w:div>
    <w:div w:id="2028675124">
      <w:bodyDiv w:val="1"/>
      <w:marLeft w:val="0"/>
      <w:marRight w:val="0"/>
      <w:marTop w:val="0"/>
      <w:marBottom w:val="0"/>
      <w:divBdr>
        <w:top w:val="none" w:sz="0" w:space="0" w:color="auto"/>
        <w:left w:val="none" w:sz="0" w:space="0" w:color="auto"/>
        <w:bottom w:val="none" w:sz="0" w:space="0" w:color="auto"/>
        <w:right w:val="none" w:sz="0" w:space="0" w:color="auto"/>
      </w:divBdr>
    </w:div>
    <w:div w:id="2032682794">
      <w:bodyDiv w:val="1"/>
      <w:marLeft w:val="0"/>
      <w:marRight w:val="0"/>
      <w:marTop w:val="0"/>
      <w:marBottom w:val="0"/>
      <w:divBdr>
        <w:top w:val="none" w:sz="0" w:space="0" w:color="auto"/>
        <w:left w:val="none" w:sz="0" w:space="0" w:color="auto"/>
        <w:bottom w:val="none" w:sz="0" w:space="0" w:color="auto"/>
        <w:right w:val="none" w:sz="0" w:space="0" w:color="auto"/>
      </w:divBdr>
    </w:div>
    <w:div w:id="2066946919">
      <w:bodyDiv w:val="1"/>
      <w:marLeft w:val="0"/>
      <w:marRight w:val="0"/>
      <w:marTop w:val="0"/>
      <w:marBottom w:val="0"/>
      <w:divBdr>
        <w:top w:val="none" w:sz="0" w:space="0" w:color="auto"/>
        <w:left w:val="none" w:sz="0" w:space="0" w:color="auto"/>
        <w:bottom w:val="none" w:sz="0" w:space="0" w:color="auto"/>
        <w:right w:val="none" w:sz="0" w:space="0" w:color="auto"/>
      </w:divBdr>
    </w:div>
    <w:div w:id="210275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vestment-solutions.mercer.com/content/dam/mercer-subdomains/delegated-solutions/CorporatePolicies/Engagement%20Policy%20-%20MGIE%20and%20MGIM.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vestment-solutions.mercer.com/content/dam/mercer-subdomains/delegated-solutions/CorporatePolicies/Sustainability-Policy-March202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vestment-solutions.mercer.com/content/dam/mercer-subdomains/delegated-solutions/CorporatePolicies/Engagement%20Policy%20-%20MGIE%20and%20MGIM.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vestment-solutions.mercer.com/content/dam/mercer-subdomains/delegated-solutions/CorporatePolicies/Mercer%20Delegated%20Solutions%20Europe%20-%20TCFD%20Statement%20-%20D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MC\ReportVertic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db923d3-2dae-4f59-a8f7-ec97bb8a3e3e">JAEDZY5RRTCD-16-2</_dlc_DocId>
    <_dlc_DocIdUrl xmlns="bdb923d3-2dae-4f59-a8f7-ec97bb8a3e3e">
      <Url>http://sites.mercer.com/sites/uk/_layouts/DocIdRedir.aspx?ID=JAEDZY5RRTCD-16-2</Url>
      <Description>JAEDZY5RRTCD-16-2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CFF08E63B6AA4C903B88D4BDB2B8C4" ma:contentTypeVersion="0" ma:contentTypeDescription="Create a new document." ma:contentTypeScope="" ma:versionID="d4342b37545946b32d401692341043df">
  <xsd:schema xmlns:xsd="http://www.w3.org/2001/XMLSchema" xmlns:xs="http://www.w3.org/2001/XMLSchema" xmlns:p="http://schemas.microsoft.com/office/2006/metadata/properties" xmlns:ns2="bdb923d3-2dae-4f59-a8f7-ec97bb8a3e3e" targetNamespace="http://schemas.microsoft.com/office/2006/metadata/properties" ma:root="true" ma:fieldsID="e5650a8657da7c8e153a01494a3cc06d" ns2:_="">
    <xsd:import namespace="bdb923d3-2dae-4f59-a8f7-ec97bb8a3e3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923d3-2dae-4f59-a8f7-ec97bb8a3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9D58E-9F1C-40CE-AD4C-073B926E20F8}">
  <ds:schemaRefs>
    <ds:schemaRef ds:uri="http://schemas.microsoft.com/sharepoint/events"/>
  </ds:schemaRefs>
</ds:datastoreItem>
</file>

<file path=customXml/itemProps2.xml><?xml version="1.0" encoding="utf-8"?>
<ds:datastoreItem xmlns:ds="http://schemas.openxmlformats.org/officeDocument/2006/customXml" ds:itemID="{3E2309F8-CCE9-4CC5-9422-7F7BE39A2D62}">
  <ds:schemaRefs>
    <ds:schemaRef ds:uri="http://purl.org/dc/terms/"/>
    <ds:schemaRef ds:uri="http://schemas.microsoft.com/office/2006/metadata/properties"/>
    <ds:schemaRef ds:uri="http://schemas.microsoft.com/office/2006/documentManagement/types"/>
    <ds:schemaRef ds:uri="bdb923d3-2dae-4f59-a8f7-ec97bb8a3e3e"/>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95C0D19-6C6A-42A6-A1E0-2027FE48C1E7}">
  <ds:schemaRefs>
    <ds:schemaRef ds:uri="http://schemas.microsoft.com/sharepoint/v3/contenttype/forms"/>
  </ds:schemaRefs>
</ds:datastoreItem>
</file>

<file path=customXml/itemProps4.xml><?xml version="1.0" encoding="utf-8"?>
<ds:datastoreItem xmlns:ds="http://schemas.openxmlformats.org/officeDocument/2006/customXml" ds:itemID="{C9191352-7ABF-4826-87F5-31BBEBE94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923d3-2dae-4f59-a8f7-ec97bb8a3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2854D0-6F8F-4C59-8A4B-1DC1DEE3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ReportVertical.dot</Template>
  <TotalTime>140</TotalTime>
  <Pages>6</Pages>
  <Words>2296</Words>
  <Characters>13760</Characters>
  <Application>Microsoft Office Word</Application>
  <DocSecurity>0</DocSecurity>
  <Lines>430</Lines>
  <Paragraphs>272</Paragraphs>
  <ScaleCrop>false</ScaleCrop>
  <HeadingPairs>
    <vt:vector size="2" baseType="variant">
      <vt:variant>
        <vt:lpstr>Title</vt:lpstr>
      </vt:variant>
      <vt:variant>
        <vt:i4>1</vt:i4>
      </vt:variant>
    </vt:vector>
  </HeadingPairs>
  <TitlesOfParts>
    <vt:vector size="1" baseType="lpstr">
      <vt:lpstr>Report (Vertical)</vt:lpstr>
    </vt:vector>
  </TitlesOfParts>
  <Company>Mercer (US) Inc.</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(Vertical)</dc:title>
  <dc:creator>Jessica Rakshys</dc:creator>
  <cp:lastModifiedBy>Patel, Mya</cp:lastModifiedBy>
  <cp:revision>19</cp:revision>
  <cp:lastPrinted>2020-01-10T12:34:00Z</cp:lastPrinted>
  <dcterms:created xsi:type="dcterms:W3CDTF">2022-06-08T13:10:00Z</dcterms:created>
  <dcterms:modified xsi:type="dcterms:W3CDTF">2022-06-09T14:06:00Z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COA_Template">
    <vt:lpwstr>ReportVertical.dot</vt:lpwstr>
  </property>
  <property fmtid="{D5CDD505-2E9C-101B-9397-08002B2CF9AE}" pid="3" name="MMCOA_PaperResize">
    <vt:lpwstr>StdAndCustom</vt:lpwstr>
  </property>
  <property fmtid="{D5CDD505-2E9C-101B-9397-08002B2CF9AE}" pid="4" name="MMCOA_CurrentPaperSetup">
    <vt:lpwstr>A4</vt:lpwstr>
  </property>
  <property fmtid="{D5CDD505-2E9C-101B-9397-08002B2CF9AE}" pid="5" name="MMCOA_Redate">
    <vt:lpwstr>Date;</vt:lpwstr>
  </property>
  <property fmtid="{D5CDD505-2E9C-101B-9397-08002B2CF9AE}" pid="6" name="MMCOA_BIC">
    <vt:bool>true</vt:bool>
  </property>
  <property fmtid="{D5CDD505-2E9C-101B-9397-08002B2CF9AE}" pid="7" name="BICCompanyNameNo1">
    <vt:lpwstr>Mercer (US) Inc.</vt:lpwstr>
  </property>
  <property fmtid="{D5CDD505-2E9C-101B-9397-08002B2CF9AE}" pid="8" name="BICCompanyNameNo2">
    <vt:lpwstr> </vt:lpwstr>
  </property>
  <property fmtid="{D5CDD505-2E9C-101B-9397-08002B2CF9AE}" pid="9" name="BICCompanyNameNo3">
    <vt:lpwstr> </vt:lpwstr>
  </property>
  <property fmtid="{D5CDD505-2E9C-101B-9397-08002B2CF9AE}" pid="10" name="BICCompanyNameNo4">
    <vt:lpwstr> </vt:lpwstr>
  </property>
  <property fmtid="{D5CDD505-2E9C-101B-9397-08002B2CF9AE}" pid="11" name="BICCompanyAddressNo1">
    <vt:lpwstr>121 River Street_x000d_
Hoboken, NJ 07030</vt:lpwstr>
  </property>
  <property fmtid="{D5CDD505-2E9C-101B-9397-08002B2CF9AE}" pid="12" name="BICCompanyAddressNo2">
    <vt:lpwstr> </vt:lpwstr>
  </property>
  <property fmtid="{D5CDD505-2E9C-101B-9397-08002B2CF9AE}" pid="13" name="BICCompanyAddressNo3">
    <vt:lpwstr> </vt:lpwstr>
  </property>
  <property fmtid="{D5CDD505-2E9C-101B-9397-08002B2CF9AE}" pid="14" name="BICCompanyAddressNo4">
    <vt:lpwstr> </vt:lpwstr>
  </property>
  <property fmtid="{D5CDD505-2E9C-101B-9397-08002B2CF9AE}" pid="15" name="BICCompanyPhoneNo1">
    <vt:lpwstr>+1 201 284 6000</vt:lpwstr>
  </property>
  <property fmtid="{D5CDD505-2E9C-101B-9397-08002B2CF9AE}" pid="16" name="BICCompanyPhoneNo2">
    <vt:lpwstr> </vt:lpwstr>
  </property>
  <property fmtid="{D5CDD505-2E9C-101B-9397-08002B2CF9AE}" pid="17" name="BICCompanyPhoneNo3">
    <vt:lpwstr> </vt:lpwstr>
  </property>
  <property fmtid="{D5CDD505-2E9C-101B-9397-08002B2CF9AE}" pid="18" name="BICCompanyPhoneNo4">
    <vt:lpwstr> </vt:lpwstr>
  </property>
  <property fmtid="{D5CDD505-2E9C-101B-9397-08002B2CF9AE}" pid="19" name="BICCompanyAbbreviatedNameNo1">
    <vt:lpwstr>Mercer</vt:lpwstr>
  </property>
  <property fmtid="{D5CDD505-2E9C-101B-9397-08002B2CF9AE}" pid="20" name="BICCompanyAbbreviatedNameNo2">
    <vt:lpwstr> </vt:lpwstr>
  </property>
  <property fmtid="{D5CDD505-2E9C-101B-9397-08002B2CF9AE}" pid="21" name="BICCompanyAbbreviatedNameNo3">
    <vt:lpwstr> </vt:lpwstr>
  </property>
  <property fmtid="{D5CDD505-2E9C-101B-9397-08002B2CF9AE}" pid="22" name="BICCompanyAbbreviatedNameNo4">
    <vt:lpwstr> </vt:lpwstr>
  </property>
  <property fmtid="{D5CDD505-2E9C-101B-9397-08002B2CF9AE}" pid="23" name="BICCompanyAbbreviationNo1">
    <vt:lpwstr>MER</vt:lpwstr>
  </property>
  <property fmtid="{D5CDD505-2E9C-101B-9397-08002B2CF9AE}" pid="24" name="BICCompanyAbbreviationNo2">
    <vt:lpwstr> </vt:lpwstr>
  </property>
  <property fmtid="{D5CDD505-2E9C-101B-9397-08002B2CF9AE}" pid="25" name="BICCompanyAbbreviationNo3">
    <vt:lpwstr> </vt:lpwstr>
  </property>
  <property fmtid="{D5CDD505-2E9C-101B-9397-08002B2CF9AE}" pid="26" name="BICCompanyAbbreviationNo4">
    <vt:lpwstr> </vt:lpwstr>
  </property>
  <property fmtid="{D5CDD505-2E9C-101B-9397-08002B2CF9AE}" pid="27" name="MMCOA_TemplateVersion">
    <vt:lpwstr>5.1</vt:lpwstr>
  </property>
  <property fmtid="{D5CDD505-2E9C-101B-9397-08002B2CF9AE}" pid="28" name="MMCOA_CoverColour">
    <vt:lpwstr>MMC_NoCover</vt:lpwstr>
  </property>
  <property fmtid="{D5CDD505-2E9C-101B-9397-08002B2CF9AE}" pid="29" name="MMCOA_StyleMap">
    <vt:lpwstr>UnNumbered</vt:lpwstr>
  </property>
  <property fmtid="{D5CDD505-2E9C-101B-9397-08002B2CF9AE}" pid="30" name="LogoBICPosition">
    <vt:lpwstr>1,2</vt:lpwstr>
  </property>
  <property fmtid="{D5CDD505-2E9C-101B-9397-08002B2CF9AE}" pid="31" name="MMCOA_SectionNewPage">
    <vt:lpwstr>Yes</vt:lpwstr>
  </property>
  <property fmtid="{D5CDD505-2E9C-101B-9397-08002B2CF9AE}" pid="32" name="MMCOA_UseBlackHeadings">
    <vt:lpwstr>No</vt:lpwstr>
  </property>
  <property fmtid="{D5CDD505-2E9C-101B-9397-08002B2CF9AE}" pid="33" name="MMCOA_UI_Language">
    <vt:lpwstr>en-US</vt:lpwstr>
  </property>
  <property fmtid="{D5CDD505-2E9C-101B-9397-08002B2CF9AE}" pid="34" name="MMCOA_Language">
    <vt:lpwstr>en-US</vt:lpwstr>
  </property>
  <property fmtid="{D5CDD505-2E9C-101B-9397-08002B2CF9AE}" pid="35" name="MMCOA_LanguageDateFormat">
    <vt:lpwstr>MMMM d, yyyy</vt:lpwstr>
  </property>
  <property fmtid="{D5CDD505-2E9C-101B-9397-08002B2CF9AE}" pid="36" name="MMCOA_PaperOrientation">
    <vt:lpwstr/>
  </property>
  <property fmtid="{D5CDD505-2E9C-101B-9397-08002B2CF9AE}" pid="37" name="MMCOA_Date">
    <vt:lpwstr>June 21, 2021</vt:lpwstr>
  </property>
  <property fmtid="{D5CDD505-2E9C-101B-9397-08002B2CF9AE}" pid="38" name="MMCOA_CompanyOption">
    <vt:lpwstr>79</vt:lpwstr>
  </property>
  <property fmtid="{D5CDD505-2E9C-101B-9397-08002B2CF9AE}" pid="39" name="MMCOA_BaseStyle">
    <vt:lpwstr>Base</vt:lpwstr>
  </property>
  <property fmtid="{D5CDD505-2E9C-101B-9397-08002B2CF9AE}" pid="40" name="MMCOA_TableStyles">
    <vt:lpwstr>Table Heading Text;Table Text</vt:lpwstr>
  </property>
  <property fmtid="{D5CDD505-2E9C-101B-9397-08002B2CF9AE}" pid="41" name="MMCOA_SuppressLogo">
    <vt:lpwstr>Logo Hide;Logo Hide 2;</vt:lpwstr>
  </property>
  <property fmtid="{D5CDD505-2E9C-101B-9397-08002B2CF9AE}" pid="42" name="MMCOA_SuppressLogoAddress">
    <vt:lpwstr>Logo Hide;Logo Hide 2;Text Hide;</vt:lpwstr>
  </property>
  <property fmtid="{D5CDD505-2E9C-101B-9397-08002B2CF9AE}" pid="43" name="MMCOA_StyleKeyBindings">
    <vt:lpwstr>NormalþHeading 1þHeading 2þHeading 3þList BulletþList Bullet 2þList Bullet 3þList Bullet 4þList NumberþList Number 2þList Number 3þList Number 4þNormal Indent 1þNormal Indent 2þNormal Indent 3þNormal </vt:lpwstr>
  </property>
  <property fmtid="{D5CDD505-2E9C-101B-9397-08002B2CF9AE}" pid="44" name="MMCOA_StyleKeyBindings2">
    <vt:lpwstr>Indent 4þHeading 1þHeading 2þHeading 3þHeading 5þList BulletþList Bullet 2þList Bullet 3þList Bullet 4</vt:lpwstr>
  </property>
  <property fmtid="{D5CDD505-2E9C-101B-9397-08002B2CF9AE}" pid="45" name="MMCOA_StyleKeyBindingsKeys">
    <vt:lpwstr>846þ1585þ1586þ1587þ1590þ1591þ1592þ1593þ1648þ1649þ1650þ1651þ1653þ1654þ1655þ1656þ1585þ1586þ1587þ1589þ1590þ1591þ1592þ1593</vt:lpwstr>
  </property>
  <property fmtid="{D5CDD505-2E9C-101B-9397-08002B2CF9AE}" pid="46" name="MMCOA_TOCStyles">
    <vt:lpwstr>Appendix Heading 1,9</vt:lpwstr>
  </property>
  <property fmtid="{D5CDD505-2E9C-101B-9397-08002B2CF9AE}" pid="47" name="ContentTypeId">
    <vt:lpwstr>0x01010005CFF08E63B6AA4C903B88D4BDB2B8C4</vt:lpwstr>
  </property>
  <property fmtid="{D5CDD505-2E9C-101B-9397-08002B2CF9AE}" pid="48" name="_dlc_DocIdItemGuid">
    <vt:lpwstr>6668c588-09a6-4e97-8324-86b0be6e5cae</vt:lpwstr>
  </property>
  <property fmtid="{D5CDD505-2E9C-101B-9397-08002B2CF9AE}" pid="49" name="_NewReviewCycle">
    <vt:lpwstr/>
  </property>
  <property fmtid="{D5CDD505-2E9C-101B-9397-08002B2CF9AE}" pid="50" name="MSIP_Label_38f1469a-2c2a-4aee-b92b-090d4c5468ff_Enabled">
    <vt:lpwstr>true</vt:lpwstr>
  </property>
  <property fmtid="{D5CDD505-2E9C-101B-9397-08002B2CF9AE}" pid="51" name="MSIP_Label_38f1469a-2c2a-4aee-b92b-090d4c5468ff_SetDate">
    <vt:lpwstr>2021-08-26T10:07:06Z</vt:lpwstr>
  </property>
  <property fmtid="{D5CDD505-2E9C-101B-9397-08002B2CF9AE}" pid="52" name="MSIP_Label_38f1469a-2c2a-4aee-b92b-090d4c5468ff_Method">
    <vt:lpwstr>Standard</vt:lpwstr>
  </property>
  <property fmtid="{D5CDD505-2E9C-101B-9397-08002B2CF9AE}" pid="53" name="MSIP_Label_38f1469a-2c2a-4aee-b92b-090d4c5468ff_Name">
    <vt:lpwstr>Confidential - Unmarked</vt:lpwstr>
  </property>
  <property fmtid="{D5CDD505-2E9C-101B-9397-08002B2CF9AE}" pid="54" name="MSIP_Label_38f1469a-2c2a-4aee-b92b-090d4c5468ff_SiteId">
    <vt:lpwstr>2a6e6092-73e4-4752-b1a5-477a17f5056d</vt:lpwstr>
  </property>
  <property fmtid="{D5CDD505-2E9C-101B-9397-08002B2CF9AE}" pid="55" name="MSIP_Label_38f1469a-2c2a-4aee-b92b-090d4c5468ff_ActionId">
    <vt:lpwstr>6a0fb463-1dda-445a-9419-1fedb083382d</vt:lpwstr>
  </property>
  <property fmtid="{D5CDD505-2E9C-101B-9397-08002B2CF9AE}" pid="56" name="MSIP_Label_38f1469a-2c2a-4aee-b92b-090d4c5468ff_ContentBits">
    <vt:lpwstr>0</vt:lpwstr>
  </property>
  <property fmtid="{D5CDD505-2E9C-101B-9397-08002B2CF9AE}" pid="57" name="MPR_PEERREVIEW">
    <vt:lpwstr>Peer Review Identifier</vt:lpwstr>
  </property>
  <property fmtid="{D5CDD505-2E9C-101B-9397-08002B2CF9AE}" pid="58" name="MPR_DocID">
    <vt:lpwstr>481231115fda48fda6467c2cdd1021d1</vt:lpwstr>
  </property>
  <property fmtid="{D5CDD505-2E9C-101B-9397-08002B2CF9AE}" pid="59" name="_MarkAsFinal">
    <vt:bool>true</vt:bool>
  </property>
</Properties>
</file>